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C54AF4">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C54AF4">
        <w:fldChar w:fldCharType="begin"/>
      </w:r>
      <w:r>
        <w:instrText>ADVANCE \u14</w:instrText>
      </w:r>
      <w:r w:rsidR="00C54AF4">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6B7F48">
        <w:t>237</w:t>
      </w:r>
      <w:r>
        <w:tab/>
      </w:r>
      <w:r>
        <w:rPr>
          <w:rFonts w:ascii="Arial" w:hAnsi="Arial"/>
          <w:b/>
          <w:sz w:val="28"/>
        </w:rPr>
        <w:t>DATE:</w:t>
      </w:r>
      <w:r>
        <w:rPr>
          <w:rFonts w:ascii="Arial" w:hAnsi="Arial"/>
          <w:b/>
          <w:sz w:val="28"/>
        </w:rPr>
        <w:tab/>
      </w:r>
      <w:r w:rsidR="00C80B56">
        <w:rPr>
          <w:bCs/>
        </w:rPr>
        <w:t>March 15</w:t>
      </w:r>
      <w:r w:rsidR="006B7F48">
        <w:rPr>
          <w:bCs/>
        </w:rPr>
        <w:t>, 2013</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AB4866">
        <w:rPr>
          <w:bCs/>
        </w:rPr>
        <w:t>Delete-everything</w:t>
      </w:r>
      <w:r w:rsidR="007C2CF5">
        <w:rPr>
          <w:bCs/>
        </w:rPr>
        <w:t xml:space="preserve"> amendment (H0237DE</w:t>
      </w:r>
      <w:r w:rsidR="002B731F">
        <w:rPr>
          <w:bCs/>
        </w:rPr>
        <w:t>5</w:t>
      </w:r>
      <w:r w:rsidR="00B70B63">
        <w:rPr>
          <w:bCs/>
        </w:rPr>
        <w: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6B7F48">
        <w:rPr>
          <w:bCs/>
        </w:rPr>
        <w:t>Paymar</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6B7F48">
        <w:rPr>
          <w:bCs/>
        </w:rPr>
        <w:t>Firearms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B70B63">
        <w:rPr>
          <w:sz w:val="22"/>
        </w:rPr>
        <w:t>Jeff Diebel and Jim Cleary</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C54AF4">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6231A4" w:rsidRPr="00881C41" w:rsidRDefault="006231A4" w:rsidP="006231A4">
      <w:pPr>
        <w:tabs>
          <w:tab w:val="left" w:pos="-360"/>
          <w:tab w:val="left" w:pos="0"/>
        </w:tabs>
        <w:spacing w:before="100" w:beforeAutospacing="1" w:after="100" w:afterAutospacing="1"/>
        <w:ind w:left="720" w:right="720"/>
      </w:pP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bl>
    <w:p w:rsidR="00AB4866" w:rsidRDefault="00AB4866">
      <w:pPr>
        <w:pStyle w:val="Sectionnumber"/>
        <w:sectPr w:rsidR="00AB4866" w:rsidSect="005E4BEA">
          <w:headerReference w:type="default" r:id="rId7"/>
          <w:footerReference w:type="default" r:id="rId8"/>
          <w:footerReference w:type="first" r:id="rId9"/>
          <w:type w:val="continuous"/>
          <w:pgSz w:w="12240" w:h="15840" w:code="1"/>
          <w:pgMar w:top="720" w:right="1080" w:bottom="576" w:left="1080" w:header="720" w:footer="288" w:gutter="0"/>
          <w:cols w:space="720"/>
          <w:titlePg/>
        </w:sectPr>
      </w:pPr>
    </w:p>
    <w:tbl>
      <w:tblPr>
        <w:tblW w:w="10296" w:type="dxa"/>
        <w:tblCellMar>
          <w:left w:w="58" w:type="dxa"/>
          <w:right w:w="58" w:type="dxa"/>
        </w:tblCellMar>
        <w:tblLook w:val="0000"/>
      </w:tblPr>
      <w:tblGrid>
        <w:gridCol w:w="1195"/>
        <w:gridCol w:w="9101"/>
      </w:tblGrid>
      <w:tr w:rsidR="00AB4866" w:rsidTr="00AB4866">
        <w:tc>
          <w:tcPr>
            <w:tcW w:w="10296" w:type="dxa"/>
            <w:gridSpan w:val="2"/>
            <w:tcMar>
              <w:top w:w="288" w:type="dxa"/>
              <w:bottom w:w="115" w:type="dxa"/>
              <w:right w:w="43" w:type="dxa"/>
            </w:tcMar>
          </w:tcPr>
          <w:p w:rsidR="00AB4866" w:rsidRDefault="00AB4866" w:rsidP="00AB4866">
            <w:pPr>
              <w:pStyle w:val="Heading1"/>
            </w:pPr>
            <w:r>
              <w:lastRenderedPageBreak/>
              <w:t>Article 1: Firearm Background Checks and Transfers</w:t>
            </w:r>
          </w:p>
          <w:p w:rsidR="00721578" w:rsidRDefault="00721578" w:rsidP="00721578">
            <w:pPr>
              <w:pStyle w:val="Heading4"/>
            </w:pPr>
            <w:r>
              <w:t>Overview</w:t>
            </w:r>
          </w:p>
          <w:p w:rsidR="00721578" w:rsidRPr="00721578" w:rsidRDefault="00D33F41" w:rsidP="00721578">
            <w:pPr>
              <w:ind w:left="720" w:right="835"/>
            </w:pPr>
            <w:r>
              <w:t xml:space="preserve">This article modifies a variety of provisions </w:t>
            </w:r>
            <w:r w:rsidR="00721578">
              <w:t xml:space="preserve">of firearms law relating to the transfer and purchase of pistols and semiautomatic military-style assault weapons and to </w:t>
            </w:r>
            <w:r w:rsidR="00721578" w:rsidRPr="00CD2C9F">
              <w:t>eligibility criteria for possessing</w:t>
            </w:r>
            <w:r w:rsidR="00721578">
              <w:t xml:space="preserve"> a firearm.</w:t>
            </w:r>
          </w:p>
        </w:tc>
      </w:tr>
      <w:tr w:rsidR="002E37EC">
        <w:tc>
          <w:tcPr>
            <w:tcW w:w="1195" w:type="dxa"/>
            <w:tcMar>
              <w:right w:w="43" w:type="dxa"/>
            </w:tcMar>
          </w:tcPr>
          <w:p w:rsidR="002E37EC" w:rsidRDefault="002E37EC">
            <w:pPr>
              <w:pStyle w:val="Sectionnumber"/>
            </w:pPr>
          </w:p>
        </w:tc>
        <w:tc>
          <w:tcPr>
            <w:tcW w:w="9101" w:type="dxa"/>
          </w:tcPr>
          <w:p w:rsidR="00905BEE" w:rsidRPr="006231A4" w:rsidRDefault="00C80B56" w:rsidP="00395804">
            <w:pPr>
              <w:pStyle w:val="Sectionnumber"/>
              <w:numPr>
                <w:ilvl w:val="0"/>
                <w:numId w:val="0"/>
              </w:numPr>
              <w:rPr>
                <w:b w:val="0"/>
                <w:bCs/>
              </w:rPr>
            </w:pPr>
            <w:r>
              <w:rPr>
                <w:bCs/>
              </w:rPr>
              <w:t>Information</w:t>
            </w:r>
            <w:r w:rsidR="00CA3163">
              <w:rPr>
                <w:bCs/>
              </w:rPr>
              <w:t xml:space="preserve">.  </w:t>
            </w:r>
            <w:r w:rsidR="00CA3163">
              <w:rPr>
                <w:b w:val="0"/>
                <w:bCs/>
              </w:rPr>
              <w:t>Requires that an applicant</w:t>
            </w:r>
            <w:r w:rsidR="00D33F41">
              <w:rPr>
                <w:b w:val="0"/>
                <w:bCs/>
              </w:rPr>
              <w:t xml:space="preserve"> for a permit to purchase</w:t>
            </w:r>
            <w:r w:rsidR="00CA3163">
              <w:rPr>
                <w:b w:val="0"/>
                <w:bCs/>
              </w:rPr>
              <w:t xml:space="preserve"> must submit a</w:t>
            </w:r>
            <w:r w:rsidR="00E35884">
              <w:rPr>
                <w:b w:val="0"/>
                <w:bCs/>
              </w:rPr>
              <w:t xml:space="preserve"> government-</w:t>
            </w:r>
            <w:r w:rsidR="00CA3163">
              <w:rPr>
                <w:b w:val="0"/>
                <w:bCs/>
              </w:rPr>
              <w:t xml:space="preserve">issued photo ID.  Also changes the current reference to the firearms eligibility statute (Minn. Stat. § 624.713) to </w:t>
            </w:r>
            <w:r w:rsidR="00CA3163">
              <w:rPr>
                <w:b w:val="0"/>
                <w:bCs/>
                <w:i/>
              </w:rPr>
              <w:t>state or federal law.</w:t>
            </w:r>
          </w:p>
        </w:tc>
      </w:tr>
      <w:tr w:rsidR="004C3E56">
        <w:tc>
          <w:tcPr>
            <w:tcW w:w="1195" w:type="dxa"/>
            <w:tcMar>
              <w:right w:w="43" w:type="dxa"/>
            </w:tcMar>
          </w:tcPr>
          <w:p w:rsidR="004C3E56" w:rsidRDefault="004C3E56" w:rsidP="0063124A">
            <w:pPr>
              <w:pStyle w:val="Sectionnumber"/>
            </w:pPr>
          </w:p>
        </w:tc>
        <w:tc>
          <w:tcPr>
            <w:tcW w:w="9101" w:type="dxa"/>
          </w:tcPr>
          <w:p w:rsidR="00606CC9" w:rsidRPr="00606CC9" w:rsidRDefault="00C80B56" w:rsidP="00CD2C9F">
            <w:pPr>
              <w:pStyle w:val="Sectionnumber"/>
              <w:numPr>
                <w:ilvl w:val="0"/>
                <w:numId w:val="0"/>
              </w:numPr>
              <w:rPr>
                <w:b w:val="0"/>
                <w:bCs/>
                <w:i/>
              </w:rPr>
            </w:pPr>
            <w:r>
              <w:rPr>
                <w:bCs/>
              </w:rPr>
              <w:t>G</w:t>
            </w:r>
            <w:r w:rsidR="00CA3163">
              <w:rPr>
                <w:bCs/>
              </w:rPr>
              <w:t xml:space="preserve">rounds for disqualification.  </w:t>
            </w:r>
            <w:r w:rsidR="00CA3163">
              <w:rPr>
                <w:b w:val="0"/>
                <w:bCs/>
              </w:rPr>
              <w:t xml:space="preserve">Requires a chief of police or sheriff to deny a permit to purchase application if the applicant </w:t>
            </w:r>
            <w:r w:rsidR="00F10331">
              <w:rPr>
                <w:b w:val="0"/>
                <w:bCs/>
              </w:rPr>
              <w:t xml:space="preserve">is either ineligible to possess firearms or is determined to be a danger to self or others.  </w:t>
            </w:r>
            <w:r w:rsidR="00CA3163" w:rsidRPr="00CD2C9F">
              <w:rPr>
                <w:b w:val="0"/>
                <w:bCs/>
              </w:rPr>
              <w:t>C</w:t>
            </w:r>
            <w:r w:rsidR="00CA3163">
              <w:rPr>
                <w:b w:val="0"/>
                <w:bCs/>
              </w:rPr>
              <w:t xml:space="preserve">hanges the current reference to the firearms eligibility statute (Minn. Stat. § 624.713) to </w:t>
            </w:r>
            <w:r w:rsidR="00CA3163">
              <w:rPr>
                <w:b w:val="0"/>
                <w:bCs/>
                <w:i/>
              </w:rPr>
              <w:t>state or federal law</w:t>
            </w:r>
          </w:p>
        </w:tc>
      </w:tr>
      <w:tr w:rsidR="00606CC9">
        <w:tc>
          <w:tcPr>
            <w:tcW w:w="1195" w:type="dxa"/>
            <w:tcMar>
              <w:right w:w="43" w:type="dxa"/>
            </w:tcMar>
          </w:tcPr>
          <w:p w:rsidR="00606CC9" w:rsidRDefault="00606CC9" w:rsidP="0063124A">
            <w:pPr>
              <w:pStyle w:val="Sectionnumber"/>
            </w:pPr>
          </w:p>
        </w:tc>
        <w:tc>
          <w:tcPr>
            <w:tcW w:w="9101" w:type="dxa"/>
          </w:tcPr>
          <w:p w:rsidR="00606CC9" w:rsidRDefault="00C80B56" w:rsidP="00395804">
            <w:pPr>
              <w:pStyle w:val="Sectionnumber"/>
              <w:numPr>
                <w:ilvl w:val="0"/>
                <w:numId w:val="0"/>
              </w:numPr>
              <w:rPr>
                <w:bCs/>
              </w:rPr>
            </w:pPr>
            <w:r>
              <w:rPr>
                <w:bCs/>
              </w:rPr>
              <w:t>Granting of permits</w:t>
            </w:r>
            <w:r w:rsidR="00F10331">
              <w:rPr>
                <w:bCs/>
              </w:rPr>
              <w:t xml:space="preserve">. </w:t>
            </w:r>
            <w:r w:rsidR="006231A4">
              <w:rPr>
                <w:b w:val="0"/>
                <w:bCs/>
              </w:rPr>
              <w:t>Authorizes a new $25 fee for a</w:t>
            </w:r>
            <w:r w:rsidR="00F10331">
              <w:rPr>
                <w:b w:val="0"/>
                <w:bCs/>
              </w:rPr>
              <w:t xml:space="preserve"> permit</w:t>
            </w:r>
            <w:r w:rsidR="006231A4">
              <w:rPr>
                <w:b w:val="0"/>
                <w:bCs/>
              </w:rPr>
              <w:t xml:space="preserve"> to purchase</w:t>
            </w:r>
            <w:r w:rsidR="00F10331">
              <w:rPr>
                <w:b w:val="0"/>
                <w:bCs/>
              </w:rPr>
              <w:t xml:space="preserve">. </w:t>
            </w:r>
            <w:r w:rsidR="00F10331" w:rsidRPr="00CD2C9F">
              <w:rPr>
                <w:b w:val="0"/>
                <w:bCs/>
              </w:rPr>
              <w:t>C</w:t>
            </w:r>
            <w:r w:rsidR="00F10331">
              <w:rPr>
                <w:b w:val="0"/>
                <w:bCs/>
              </w:rPr>
              <w:t xml:space="preserve">hanges the current reference to the firearms eligibility statute (Minn. Stat. § 624.713) to </w:t>
            </w:r>
            <w:r w:rsidR="00D33F41">
              <w:rPr>
                <w:b w:val="0"/>
                <w:bCs/>
                <w:i/>
              </w:rPr>
              <w:t>state or</w:t>
            </w:r>
            <w:r w:rsidR="00F10331">
              <w:rPr>
                <w:b w:val="0"/>
                <w:bCs/>
                <w:i/>
              </w:rPr>
              <w:t xml:space="preserve"> federal law.  </w:t>
            </w:r>
            <w:r w:rsidR="00F10331">
              <w:rPr>
                <w:b w:val="0"/>
                <w:bCs/>
              </w:rPr>
              <w:t>Also provides that if a chief or sheriff is unable to verify the identification of any applicant, they may require the applicant to appear in-person to present a government-issued photo ID, in which case the seven-day waiting period is extended to 30 days.</w:t>
            </w:r>
          </w:p>
        </w:tc>
      </w:tr>
      <w:tr w:rsidR="00606CC9">
        <w:tc>
          <w:tcPr>
            <w:tcW w:w="1195" w:type="dxa"/>
            <w:tcMar>
              <w:right w:w="43" w:type="dxa"/>
            </w:tcMar>
          </w:tcPr>
          <w:p w:rsidR="00606CC9" w:rsidRDefault="00606CC9" w:rsidP="0063124A">
            <w:pPr>
              <w:pStyle w:val="Sectionnumber"/>
            </w:pPr>
          </w:p>
        </w:tc>
        <w:tc>
          <w:tcPr>
            <w:tcW w:w="9101" w:type="dxa"/>
          </w:tcPr>
          <w:p w:rsidR="00606CC9" w:rsidRPr="006231A4" w:rsidRDefault="00C80B56" w:rsidP="00395804">
            <w:pPr>
              <w:pStyle w:val="Sectionnumber"/>
              <w:numPr>
                <w:ilvl w:val="0"/>
                <w:numId w:val="0"/>
              </w:numPr>
              <w:rPr>
                <w:bCs/>
              </w:rPr>
            </w:pPr>
            <w:r>
              <w:rPr>
                <w:bCs/>
              </w:rPr>
              <w:t>Permit void</w:t>
            </w:r>
            <w:r w:rsidR="00F10331">
              <w:rPr>
                <w:bCs/>
              </w:rPr>
              <w:t xml:space="preserve">. </w:t>
            </w:r>
            <w:r w:rsidR="00F10331" w:rsidRPr="00CD2C9F">
              <w:rPr>
                <w:b w:val="0"/>
                <w:bCs/>
              </w:rPr>
              <w:t>C</w:t>
            </w:r>
            <w:r w:rsidR="00F10331">
              <w:rPr>
                <w:b w:val="0"/>
                <w:bCs/>
              </w:rPr>
              <w:t xml:space="preserve">hanges the current reference to the firearms eligibility statute (Minn. Stat. § </w:t>
            </w:r>
            <w:r w:rsidR="00F10331">
              <w:rPr>
                <w:b w:val="0"/>
                <w:bCs/>
              </w:rPr>
              <w:lastRenderedPageBreak/>
              <w:t>624.713) to</w:t>
            </w:r>
            <w:r w:rsidR="00F10331">
              <w:rPr>
                <w:b w:val="0"/>
                <w:bCs/>
                <w:i/>
              </w:rPr>
              <w:t xml:space="preserve"> state or federal law.</w:t>
            </w:r>
          </w:p>
        </w:tc>
      </w:tr>
      <w:tr w:rsidR="00606CC9">
        <w:tc>
          <w:tcPr>
            <w:tcW w:w="1195" w:type="dxa"/>
            <w:tcMar>
              <w:right w:w="43" w:type="dxa"/>
            </w:tcMar>
          </w:tcPr>
          <w:p w:rsidR="00606CC9" w:rsidRDefault="00606CC9" w:rsidP="0063124A">
            <w:pPr>
              <w:pStyle w:val="Sectionnumber"/>
            </w:pPr>
          </w:p>
        </w:tc>
        <w:tc>
          <w:tcPr>
            <w:tcW w:w="9101" w:type="dxa"/>
          </w:tcPr>
          <w:p w:rsidR="00606CC9" w:rsidRPr="006231A4" w:rsidRDefault="00C80B56" w:rsidP="00395804">
            <w:pPr>
              <w:pStyle w:val="Sectionnumber"/>
              <w:numPr>
                <w:ilvl w:val="0"/>
                <w:numId w:val="0"/>
              </w:numPr>
              <w:rPr>
                <w:bCs/>
              </w:rPr>
            </w:pPr>
            <w:r>
              <w:rPr>
                <w:bCs/>
              </w:rPr>
              <w:t>R</w:t>
            </w:r>
            <w:r w:rsidR="00DB4A1A">
              <w:rPr>
                <w:bCs/>
              </w:rPr>
              <w:t>equired</w:t>
            </w:r>
            <w:r>
              <w:rPr>
                <w:bCs/>
              </w:rPr>
              <w:t xml:space="preserve"> information</w:t>
            </w:r>
            <w:r w:rsidR="00DB4A1A">
              <w:rPr>
                <w:bCs/>
              </w:rPr>
              <w:t>.</w:t>
            </w:r>
            <w:r w:rsidR="00DB4A1A">
              <w:rPr>
                <w:b w:val="0"/>
                <w:bCs/>
                <w:i/>
              </w:rPr>
              <w:t xml:space="preserve"> </w:t>
            </w:r>
            <w:r w:rsidR="00076F8C">
              <w:rPr>
                <w:b w:val="0"/>
                <w:bCs/>
              </w:rPr>
              <w:t xml:space="preserve"> R</w:t>
            </w:r>
            <w:r w:rsidR="006231A4">
              <w:rPr>
                <w:b w:val="0"/>
                <w:bCs/>
              </w:rPr>
              <w:t xml:space="preserve">equires a transferee </w:t>
            </w:r>
            <w:r w:rsidR="00DB4A1A">
              <w:rPr>
                <w:b w:val="0"/>
                <w:bCs/>
              </w:rPr>
              <w:t>applicant</w:t>
            </w:r>
            <w:r w:rsidR="006231A4">
              <w:rPr>
                <w:b w:val="0"/>
                <w:bCs/>
              </w:rPr>
              <w:t>: (1)</w:t>
            </w:r>
            <w:r w:rsidR="00DB4A1A">
              <w:rPr>
                <w:b w:val="0"/>
                <w:bCs/>
              </w:rPr>
              <w:t xml:space="preserve"> </w:t>
            </w:r>
            <w:r w:rsidR="006231A4">
              <w:rPr>
                <w:b w:val="0"/>
                <w:bCs/>
              </w:rPr>
              <w:t xml:space="preserve">to submit a photocopy of </w:t>
            </w:r>
            <w:r w:rsidR="00DB4A1A">
              <w:rPr>
                <w:b w:val="0"/>
                <w:bCs/>
              </w:rPr>
              <w:t>a government-issued photo ID and</w:t>
            </w:r>
            <w:r w:rsidR="006231A4">
              <w:rPr>
                <w:b w:val="0"/>
                <w:bCs/>
              </w:rPr>
              <w:t xml:space="preserve"> (2) to</w:t>
            </w:r>
            <w:r w:rsidR="00DB4A1A">
              <w:rPr>
                <w:b w:val="0"/>
                <w:bCs/>
              </w:rPr>
              <w:t xml:space="preserve"> disclose if he has had a permit to purchase or transfer application denied in the past </w:t>
            </w:r>
            <w:r w:rsidR="00E35884">
              <w:rPr>
                <w:b w:val="0"/>
                <w:bCs/>
              </w:rPr>
              <w:t>six</w:t>
            </w:r>
            <w:r w:rsidR="00DB4A1A">
              <w:rPr>
                <w:b w:val="0"/>
                <w:bCs/>
              </w:rPr>
              <w:t xml:space="preserve"> months.</w:t>
            </w:r>
            <w:r w:rsidR="00076F8C">
              <w:rPr>
                <w:bCs/>
              </w:rPr>
              <w:t xml:space="preserve"> </w:t>
            </w:r>
            <w:r w:rsidR="00076F8C" w:rsidRPr="009D2B9B">
              <w:rPr>
                <w:b w:val="0"/>
                <w:bCs/>
              </w:rPr>
              <w:t>C</w:t>
            </w:r>
            <w:r w:rsidR="00076F8C">
              <w:rPr>
                <w:b w:val="0"/>
                <w:bCs/>
              </w:rPr>
              <w:t>hanges the current reference to the firearms eligibility statute (Minn. Stat. § 624.713) to</w:t>
            </w:r>
            <w:r w:rsidR="00076F8C">
              <w:rPr>
                <w:b w:val="0"/>
                <w:bCs/>
                <w:i/>
              </w:rPr>
              <w:t xml:space="preserve"> state or federal law.</w:t>
            </w:r>
          </w:p>
        </w:tc>
      </w:tr>
      <w:tr w:rsidR="00606CC9">
        <w:tc>
          <w:tcPr>
            <w:tcW w:w="1195" w:type="dxa"/>
            <w:tcMar>
              <w:right w:w="43" w:type="dxa"/>
            </w:tcMar>
          </w:tcPr>
          <w:p w:rsidR="00606CC9" w:rsidRDefault="00A82018" w:rsidP="0063124A">
            <w:pPr>
              <w:pStyle w:val="Sectionnumber"/>
            </w:pPr>
            <w:r>
              <w:t xml:space="preserve"> </w:t>
            </w:r>
          </w:p>
        </w:tc>
        <w:tc>
          <w:tcPr>
            <w:tcW w:w="9101" w:type="dxa"/>
          </w:tcPr>
          <w:p w:rsidR="00606CC9" w:rsidRPr="00CD4B88" w:rsidRDefault="00C80B56" w:rsidP="00197066">
            <w:pPr>
              <w:pStyle w:val="Sectionnumber"/>
              <w:numPr>
                <w:ilvl w:val="0"/>
                <w:numId w:val="0"/>
              </w:numPr>
              <w:rPr>
                <w:b w:val="0"/>
                <w:bCs/>
              </w:rPr>
            </w:pPr>
            <w:r>
              <w:rPr>
                <w:bCs/>
              </w:rPr>
              <w:t>N</w:t>
            </w:r>
            <w:r w:rsidR="00197066">
              <w:rPr>
                <w:bCs/>
              </w:rPr>
              <w:t>otification</w:t>
            </w:r>
            <w:r w:rsidR="00DB4A1A">
              <w:rPr>
                <w:bCs/>
              </w:rPr>
              <w:t xml:space="preserve">.  </w:t>
            </w:r>
            <w:r w:rsidR="00076F8C">
              <w:rPr>
                <w:b w:val="0"/>
                <w:bCs/>
              </w:rPr>
              <w:t xml:space="preserve">Recognizes that a transfer permit can be denied if the proposed transferee is a danger to self or others.  </w:t>
            </w:r>
            <w:r w:rsidR="00DB4A1A" w:rsidRPr="009D2B9B">
              <w:rPr>
                <w:b w:val="0"/>
                <w:bCs/>
              </w:rPr>
              <w:t>C</w:t>
            </w:r>
            <w:r w:rsidR="00DB4A1A">
              <w:rPr>
                <w:b w:val="0"/>
                <w:bCs/>
              </w:rPr>
              <w:t>hanges the current refere</w:t>
            </w:r>
            <w:r w:rsidR="00076F8C">
              <w:rPr>
                <w:b w:val="0"/>
                <w:bCs/>
              </w:rPr>
              <w:t xml:space="preserve">nce to the firearms eligibility </w:t>
            </w:r>
            <w:r w:rsidR="00DB4A1A">
              <w:rPr>
                <w:b w:val="0"/>
                <w:bCs/>
              </w:rPr>
              <w:t>statute (Minn. Stat. § 624.713) to</w:t>
            </w:r>
            <w:r w:rsidR="00076F8C">
              <w:rPr>
                <w:b w:val="0"/>
                <w:bCs/>
                <w:i/>
              </w:rPr>
              <w:t xml:space="preserve"> state or</w:t>
            </w:r>
            <w:r w:rsidR="00DB4A1A">
              <w:rPr>
                <w:b w:val="0"/>
                <w:bCs/>
                <w:i/>
              </w:rPr>
              <w:t xml:space="preserve"> federal law.</w:t>
            </w:r>
          </w:p>
        </w:tc>
      </w:tr>
      <w:tr w:rsidR="00CD4B88">
        <w:tc>
          <w:tcPr>
            <w:tcW w:w="1195" w:type="dxa"/>
            <w:tcMar>
              <w:right w:w="43" w:type="dxa"/>
            </w:tcMar>
          </w:tcPr>
          <w:p w:rsidR="00CD4B88" w:rsidRDefault="00CD4B88" w:rsidP="0063124A">
            <w:pPr>
              <w:pStyle w:val="Sectionnumber"/>
            </w:pPr>
          </w:p>
        </w:tc>
        <w:tc>
          <w:tcPr>
            <w:tcW w:w="9101" w:type="dxa"/>
          </w:tcPr>
          <w:p w:rsidR="00A82018" w:rsidRPr="00B03AAF" w:rsidRDefault="00C80B56" w:rsidP="00C80B56">
            <w:pPr>
              <w:pStyle w:val="Sectionnumber"/>
              <w:numPr>
                <w:ilvl w:val="0"/>
                <w:numId w:val="0"/>
              </w:numPr>
              <w:rPr>
                <w:bCs/>
              </w:rPr>
            </w:pPr>
            <w:r>
              <w:rPr>
                <w:bCs/>
              </w:rPr>
              <w:t>D</w:t>
            </w:r>
            <w:r w:rsidR="00197066">
              <w:rPr>
                <w:bCs/>
              </w:rPr>
              <w:t>elivery</w:t>
            </w:r>
            <w:r w:rsidR="00076F8C">
              <w:rPr>
                <w:bCs/>
              </w:rPr>
              <w:t xml:space="preserve">.  </w:t>
            </w:r>
            <w:r w:rsidR="00076F8C">
              <w:rPr>
                <w:b w:val="0"/>
                <w:bCs/>
              </w:rPr>
              <w:t>Lengthens the five business day waiting period for issuance of a permit to</w:t>
            </w:r>
            <w:r w:rsidR="00197066">
              <w:rPr>
                <w:b w:val="0"/>
                <w:bCs/>
              </w:rPr>
              <w:t xml:space="preserve"> transfer</w:t>
            </w:r>
            <w:r w:rsidR="00076F8C">
              <w:rPr>
                <w:b w:val="0"/>
                <w:bCs/>
              </w:rPr>
              <w:t xml:space="preserve"> to a seven business day period.  </w:t>
            </w:r>
            <w:r w:rsidR="00197066" w:rsidRPr="00B03AAF">
              <w:rPr>
                <w:b w:val="0"/>
                <w:bCs/>
              </w:rPr>
              <w:t>C</w:t>
            </w:r>
            <w:r w:rsidR="00197066">
              <w:rPr>
                <w:b w:val="0"/>
                <w:bCs/>
              </w:rPr>
              <w:t>hanges the current reference to the firearms eligibility statute (Minn. Stat. § 624.713) to</w:t>
            </w:r>
            <w:r w:rsidR="00197066">
              <w:rPr>
                <w:b w:val="0"/>
                <w:bCs/>
                <w:i/>
              </w:rPr>
              <w:t xml:space="preserve"> state or federal law.  </w:t>
            </w:r>
            <w:r w:rsidR="00197066">
              <w:rPr>
                <w:b w:val="0"/>
                <w:bCs/>
              </w:rPr>
              <w:t>Also provides that if a chief or sheriff is unable to verify the identification of any applicant, they may require the applicant to appear in-person to present a government-issued photo ID, in which case the seven-day waiting period is extended to 30 days.</w:t>
            </w:r>
          </w:p>
        </w:tc>
      </w:tr>
      <w:tr w:rsidR="00A82018">
        <w:tc>
          <w:tcPr>
            <w:tcW w:w="1195" w:type="dxa"/>
            <w:tcMar>
              <w:right w:w="43" w:type="dxa"/>
            </w:tcMar>
          </w:tcPr>
          <w:p w:rsidR="00A82018" w:rsidRDefault="00A82018" w:rsidP="0063124A">
            <w:pPr>
              <w:pStyle w:val="Sectionnumber"/>
            </w:pPr>
          </w:p>
        </w:tc>
        <w:tc>
          <w:tcPr>
            <w:tcW w:w="9101" w:type="dxa"/>
          </w:tcPr>
          <w:p w:rsidR="00A82018" w:rsidRPr="00176396" w:rsidRDefault="00C80B56" w:rsidP="006231A4">
            <w:pPr>
              <w:pStyle w:val="Sectionnumber"/>
              <w:numPr>
                <w:ilvl w:val="0"/>
                <w:numId w:val="0"/>
              </w:numPr>
              <w:rPr>
                <w:bCs/>
              </w:rPr>
            </w:pPr>
            <w:r>
              <w:rPr>
                <w:bCs/>
              </w:rPr>
              <w:t>G</w:t>
            </w:r>
            <w:r w:rsidR="00197066">
              <w:rPr>
                <w:bCs/>
              </w:rPr>
              <w:t xml:space="preserve">rounds for disqualification. </w:t>
            </w:r>
            <w:r w:rsidR="00197066" w:rsidRPr="009D2B9B">
              <w:rPr>
                <w:bCs/>
              </w:rPr>
              <w:t xml:space="preserve"> </w:t>
            </w:r>
            <w:r w:rsidR="002570A8">
              <w:rPr>
                <w:b w:val="0"/>
                <w:bCs/>
              </w:rPr>
              <w:t>Requires a chief of police or sheriff to deny a transferee permit application if the proposed transferee is either ineligible to possess firearms or is determined to be a danger to self or others.</w:t>
            </w:r>
            <w:r w:rsidR="002570A8" w:rsidRPr="00B03AAF">
              <w:rPr>
                <w:b w:val="0"/>
                <w:bCs/>
              </w:rPr>
              <w:t xml:space="preserve"> </w:t>
            </w:r>
            <w:r w:rsidR="00197066" w:rsidRPr="00B03AAF">
              <w:rPr>
                <w:b w:val="0"/>
                <w:bCs/>
              </w:rPr>
              <w:t>C</w:t>
            </w:r>
            <w:r w:rsidR="00197066">
              <w:rPr>
                <w:b w:val="0"/>
                <w:bCs/>
              </w:rPr>
              <w:t>hanges the current reference to the firearms eligibility statute (Minn. Stat. § 624.713) to</w:t>
            </w:r>
            <w:r w:rsidR="00197066">
              <w:rPr>
                <w:b w:val="0"/>
                <w:bCs/>
                <w:i/>
              </w:rPr>
              <w:t xml:space="preserve"> state or federal law.</w:t>
            </w:r>
            <w:r w:rsidR="00176396">
              <w:rPr>
                <w:b w:val="0"/>
                <w:bCs/>
              </w:rPr>
              <w:t xml:space="preserve"> </w:t>
            </w:r>
          </w:p>
        </w:tc>
      </w:tr>
      <w:tr w:rsidR="009D2B9B">
        <w:tc>
          <w:tcPr>
            <w:tcW w:w="1195" w:type="dxa"/>
            <w:tcMar>
              <w:right w:w="43" w:type="dxa"/>
            </w:tcMar>
          </w:tcPr>
          <w:p w:rsidR="009D2B9B" w:rsidRDefault="009D2B9B" w:rsidP="0063124A">
            <w:pPr>
              <w:pStyle w:val="Sectionnumber"/>
            </w:pPr>
          </w:p>
        </w:tc>
        <w:tc>
          <w:tcPr>
            <w:tcW w:w="9101" w:type="dxa"/>
          </w:tcPr>
          <w:p w:rsidR="009D2B9B" w:rsidRPr="002570A8" w:rsidRDefault="002570A8" w:rsidP="00C80B56">
            <w:pPr>
              <w:pStyle w:val="Sectionnumber"/>
              <w:numPr>
                <w:ilvl w:val="0"/>
                <w:numId w:val="0"/>
              </w:numPr>
              <w:rPr>
                <w:b w:val="0"/>
                <w:bCs/>
              </w:rPr>
            </w:pPr>
            <w:r>
              <w:rPr>
                <w:bCs/>
              </w:rPr>
              <w:t>Transferee permit.</w:t>
            </w:r>
            <w:r>
              <w:rPr>
                <w:b w:val="0"/>
                <w:bCs/>
              </w:rPr>
              <w:t xml:space="preserve">  Requires a chief of police or sheriff to issue a permit to purchase to a person who was approved for a transferee permit within the preceding 30 days.</w:t>
            </w:r>
            <w:r w:rsidRPr="00B03AAF">
              <w:rPr>
                <w:b w:val="0"/>
                <w:bCs/>
              </w:rPr>
              <w:t xml:space="preserve"> C</w:t>
            </w:r>
            <w:r>
              <w:rPr>
                <w:b w:val="0"/>
                <w:bCs/>
              </w:rPr>
              <w:t>hanges the current reference to the firearms eligibility statute (Minn. Stat. § 624.713) to</w:t>
            </w:r>
            <w:r>
              <w:rPr>
                <w:b w:val="0"/>
                <w:bCs/>
                <w:i/>
              </w:rPr>
              <w:t xml:space="preserve"> state or federal law.</w:t>
            </w:r>
          </w:p>
        </w:tc>
      </w:tr>
      <w:tr w:rsidR="009D2B9B">
        <w:tc>
          <w:tcPr>
            <w:tcW w:w="1195" w:type="dxa"/>
            <w:tcMar>
              <w:right w:w="43" w:type="dxa"/>
            </w:tcMar>
          </w:tcPr>
          <w:p w:rsidR="009D2B9B" w:rsidRDefault="009D2B9B" w:rsidP="0063124A">
            <w:pPr>
              <w:pStyle w:val="Sectionnumber"/>
            </w:pPr>
          </w:p>
        </w:tc>
        <w:tc>
          <w:tcPr>
            <w:tcW w:w="9101" w:type="dxa"/>
          </w:tcPr>
          <w:p w:rsidR="0001391B" w:rsidRPr="00B03AAF" w:rsidRDefault="00C80B56" w:rsidP="0001391B">
            <w:pPr>
              <w:pStyle w:val="Sectionnumber"/>
              <w:numPr>
                <w:ilvl w:val="0"/>
                <w:numId w:val="0"/>
              </w:numPr>
              <w:rPr>
                <w:bCs/>
              </w:rPr>
            </w:pPr>
            <w:r>
              <w:rPr>
                <w:bCs/>
              </w:rPr>
              <w:t>Transfers</w:t>
            </w:r>
            <w:r w:rsidR="0001391B">
              <w:rPr>
                <w:bCs/>
              </w:rPr>
              <w:t xml:space="preserve"> </w:t>
            </w:r>
            <w:r>
              <w:rPr>
                <w:bCs/>
              </w:rPr>
              <w:t>by or</w:t>
            </w:r>
            <w:r w:rsidR="0001391B">
              <w:rPr>
                <w:bCs/>
              </w:rPr>
              <w:t xml:space="preserve"> through</w:t>
            </w:r>
            <w:r>
              <w:rPr>
                <w:bCs/>
              </w:rPr>
              <w:t xml:space="preserve"> licensed</w:t>
            </w:r>
            <w:r w:rsidR="0001391B">
              <w:rPr>
                <w:bCs/>
              </w:rPr>
              <w:t xml:space="preserve"> dealer</w:t>
            </w:r>
            <w:r>
              <w:rPr>
                <w:bCs/>
              </w:rPr>
              <w:t>s</w:t>
            </w:r>
            <w:r w:rsidR="0001391B">
              <w:rPr>
                <w:bCs/>
              </w:rPr>
              <w:t xml:space="preserve"> only. </w:t>
            </w:r>
            <w:r w:rsidR="0001391B">
              <w:rPr>
                <w:b w:val="0"/>
                <w:bCs/>
              </w:rPr>
              <w:t>Mandates that any transfer of a pistol or semi-automatic assault weapon between two private citizens, neither of whom is a federally licensed firearms dealer, must be routed through a dealer. The dealer may charge a fee of up to $25.  The dealer must take the pistol or weapon into possession, and then follow federal requirements for transferring it to the intended buyer, including performance of an FBI background check through the NICS.</w:t>
            </w:r>
          </w:p>
          <w:p w:rsidR="009D2B9B" w:rsidRDefault="0001391B" w:rsidP="0001391B">
            <w:pPr>
              <w:pStyle w:val="Sectionnumber"/>
              <w:numPr>
                <w:ilvl w:val="0"/>
                <w:numId w:val="0"/>
              </w:numPr>
              <w:rPr>
                <w:b w:val="0"/>
                <w:bCs/>
              </w:rPr>
            </w:pPr>
            <w:r>
              <w:rPr>
                <w:b w:val="0"/>
                <w:bCs/>
              </w:rPr>
              <w:t>If unable to deliver it to the buyer, the dealer must run a background check on the seller, before returning it to the seller. If neither person is eligible to possess the pistol or weapon, the dealer must not transfer it to either the buyer or seller, and instead must transfer the firearm to the chief of police or sheriff within 24 hours, and report identifying information on the buyer and seller as directed.</w:t>
            </w:r>
          </w:p>
          <w:p w:rsidR="00176396" w:rsidRPr="009D2B9B" w:rsidRDefault="00176396" w:rsidP="00395804">
            <w:pPr>
              <w:pStyle w:val="Sectionnumber"/>
              <w:numPr>
                <w:ilvl w:val="0"/>
                <w:numId w:val="0"/>
              </w:numPr>
              <w:rPr>
                <w:b w:val="0"/>
                <w:bCs/>
              </w:rPr>
            </w:pPr>
            <w:r>
              <w:rPr>
                <w:b w:val="0"/>
                <w:bCs/>
              </w:rPr>
              <w:t>Exempts auctioneers from the requirements of this section.</w:t>
            </w:r>
          </w:p>
        </w:tc>
      </w:tr>
      <w:tr w:rsidR="009D2B9B">
        <w:tc>
          <w:tcPr>
            <w:tcW w:w="1195" w:type="dxa"/>
            <w:tcMar>
              <w:right w:w="43" w:type="dxa"/>
            </w:tcMar>
          </w:tcPr>
          <w:p w:rsidR="009D2B9B" w:rsidRDefault="009D2B9B" w:rsidP="0063124A">
            <w:pPr>
              <w:pStyle w:val="Sectionnumber"/>
            </w:pPr>
          </w:p>
        </w:tc>
        <w:tc>
          <w:tcPr>
            <w:tcW w:w="9101" w:type="dxa"/>
          </w:tcPr>
          <w:p w:rsidR="0001391B" w:rsidRDefault="00C80B56" w:rsidP="0001391B">
            <w:pPr>
              <w:pStyle w:val="Sectionnumber"/>
              <w:numPr>
                <w:ilvl w:val="0"/>
                <w:numId w:val="0"/>
              </w:numPr>
              <w:rPr>
                <w:b w:val="0"/>
                <w:bCs/>
              </w:rPr>
            </w:pPr>
            <w:r>
              <w:rPr>
                <w:bCs/>
              </w:rPr>
              <w:t>Report not required</w:t>
            </w:r>
            <w:r w:rsidR="0001391B">
              <w:rPr>
                <w:bCs/>
              </w:rPr>
              <w:t xml:space="preserve">.  </w:t>
            </w:r>
            <w:r w:rsidR="0001391B" w:rsidRPr="00606CC9">
              <w:rPr>
                <w:b w:val="0"/>
                <w:bCs/>
              </w:rPr>
              <w:t xml:space="preserve">A </w:t>
            </w:r>
            <w:r w:rsidR="0001391B">
              <w:rPr>
                <w:b w:val="0"/>
                <w:bCs/>
              </w:rPr>
              <w:t xml:space="preserve">permit </w:t>
            </w:r>
            <w:r w:rsidR="0001391B" w:rsidRPr="00606CC9">
              <w:rPr>
                <w:b w:val="0"/>
                <w:bCs/>
              </w:rPr>
              <w:t>to</w:t>
            </w:r>
            <w:r w:rsidR="0001391B">
              <w:rPr>
                <w:b w:val="0"/>
                <w:bCs/>
              </w:rPr>
              <w:t xml:space="preserve"> carry a p</w:t>
            </w:r>
            <w:r w:rsidR="0001391B" w:rsidRPr="00606CC9">
              <w:rPr>
                <w:b w:val="0"/>
                <w:bCs/>
              </w:rPr>
              <w:t>istol</w:t>
            </w:r>
            <w:r w:rsidR="0001391B">
              <w:rPr>
                <w:b w:val="0"/>
                <w:bCs/>
              </w:rPr>
              <w:t xml:space="preserve"> may be substituted for a</w:t>
            </w:r>
            <w:r w:rsidR="00D33F41">
              <w:rPr>
                <w:b w:val="0"/>
                <w:bCs/>
              </w:rPr>
              <w:t xml:space="preserve"> transferee</w:t>
            </w:r>
            <w:r w:rsidR="0001391B">
              <w:rPr>
                <w:b w:val="0"/>
                <w:bCs/>
              </w:rPr>
              <w:t xml:space="preserve"> permit to purchase a pistol, since they involve essentially identical background checks.  The former permit is valid for a period of five years, while the latter is valid for a period of one year.</w:t>
            </w:r>
          </w:p>
          <w:p w:rsidR="009D2B9B" w:rsidRDefault="0001391B" w:rsidP="00395804">
            <w:pPr>
              <w:pStyle w:val="Sectionnumber"/>
              <w:numPr>
                <w:ilvl w:val="0"/>
                <w:numId w:val="0"/>
              </w:numPr>
              <w:rPr>
                <w:bCs/>
              </w:rPr>
            </w:pPr>
            <w:r>
              <w:rPr>
                <w:b w:val="0"/>
                <w:bCs/>
              </w:rPr>
              <w:t xml:space="preserve">The bill would continue to allow such substitution, but only if the permit to carry a pistol has </w:t>
            </w:r>
            <w:r>
              <w:rPr>
                <w:b w:val="0"/>
                <w:bCs/>
              </w:rPr>
              <w:lastRenderedPageBreak/>
              <w:t>been issued to the holder duri</w:t>
            </w:r>
            <w:r w:rsidR="00E35884">
              <w:rPr>
                <w:b w:val="0"/>
                <w:bCs/>
              </w:rPr>
              <w:t>ng the immediately preceding 12-</w:t>
            </w:r>
            <w:r>
              <w:rPr>
                <w:b w:val="0"/>
                <w:bCs/>
              </w:rPr>
              <w:t>month period.</w:t>
            </w:r>
          </w:p>
        </w:tc>
      </w:tr>
      <w:tr w:rsidR="0061193C">
        <w:tc>
          <w:tcPr>
            <w:tcW w:w="1195" w:type="dxa"/>
            <w:tcMar>
              <w:right w:w="43" w:type="dxa"/>
            </w:tcMar>
          </w:tcPr>
          <w:p w:rsidR="0061193C" w:rsidRDefault="0061193C" w:rsidP="0063124A">
            <w:pPr>
              <w:pStyle w:val="Sectionnumber"/>
            </w:pPr>
          </w:p>
        </w:tc>
        <w:tc>
          <w:tcPr>
            <w:tcW w:w="9101" w:type="dxa"/>
          </w:tcPr>
          <w:p w:rsidR="0061193C" w:rsidRPr="00B03AAF" w:rsidRDefault="00C80B56" w:rsidP="00395804">
            <w:pPr>
              <w:pStyle w:val="Sectionnumber"/>
              <w:numPr>
                <w:ilvl w:val="0"/>
                <w:numId w:val="0"/>
              </w:numPr>
              <w:rPr>
                <w:b w:val="0"/>
                <w:bCs/>
                <w:i/>
              </w:rPr>
            </w:pPr>
            <w:r>
              <w:rPr>
                <w:bCs/>
              </w:rPr>
              <w:t>Exclusions</w:t>
            </w:r>
            <w:r w:rsidR="0001391B">
              <w:rPr>
                <w:bCs/>
              </w:rPr>
              <w:t>.</w:t>
            </w:r>
            <w:r w:rsidR="0001391B">
              <w:rPr>
                <w:b w:val="0"/>
                <w:bCs/>
              </w:rPr>
              <w:t xml:space="preserve">  Current law provides a number of exceptions to the requir</w:t>
            </w:r>
            <w:r w:rsidR="006231A4">
              <w:rPr>
                <w:b w:val="0"/>
                <w:bCs/>
              </w:rPr>
              <w:t>ements of the permit to transfer</w:t>
            </w:r>
            <w:r w:rsidR="0001391B">
              <w:rPr>
                <w:b w:val="0"/>
                <w:bCs/>
              </w:rPr>
              <w:t xml:space="preserve"> law.  The bill tightens some of those exceptions.  Most notably, the exception for transfers without a permit to purchase between </w:t>
            </w:r>
            <w:r w:rsidR="0001391B" w:rsidRPr="001E643B">
              <w:rPr>
                <w:b w:val="0"/>
                <w:bCs/>
                <w:i/>
              </w:rPr>
              <w:t xml:space="preserve">private parties </w:t>
            </w:r>
            <w:r w:rsidR="0001391B">
              <w:rPr>
                <w:b w:val="0"/>
                <w:bCs/>
              </w:rPr>
              <w:t xml:space="preserve">would be restricted to those between </w:t>
            </w:r>
            <w:r w:rsidR="0001391B">
              <w:rPr>
                <w:b w:val="0"/>
                <w:bCs/>
                <w:i/>
              </w:rPr>
              <w:t>relatives</w:t>
            </w:r>
            <w:r w:rsidR="0001391B">
              <w:rPr>
                <w:b w:val="0"/>
                <w:bCs/>
              </w:rPr>
              <w:t>, as defined in the bill.</w:t>
            </w:r>
          </w:p>
        </w:tc>
      </w:tr>
      <w:tr w:rsidR="0061193C">
        <w:tc>
          <w:tcPr>
            <w:tcW w:w="1195" w:type="dxa"/>
            <w:tcMar>
              <w:right w:w="43" w:type="dxa"/>
            </w:tcMar>
          </w:tcPr>
          <w:p w:rsidR="0061193C" w:rsidRDefault="0061193C" w:rsidP="0063124A">
            <w:pPr>
              <w:pStyle w:val="Sectionnumber"/>
            </w:pPr>
          </w:p>
        </w:tc>
        <w:tc>
          <w:tcPr>
            <w:tcW w:w="9101" w:type="dxa"/>
          </w:tcPr>
          <w:p w:rsidR="0061193C" w:rsidRPr="0061193C" w:rsidRDefault="00C80B56" w:rsidP="002B731F">
            <w:pPr>
              <w:pStyle w:val="Sectionnumber"/>
              <w:numPr>
                <w:ilvl w:val="0"/>
                <w:numId w:val="0"/>
              </w:numPr>
              <w:rPr>
                <w:b w:val="0"/>
                <w:bCs/>
              </w:rPr>
            </w:pPr>
            <w:r>
              <w:rPr>
                <w:bCs/>
              </w:rPr>
              <w:t>A</w:t>
            </w:r>
            <w:r w:rsidR="00636AA6">
              <w:rPr>
                <w:bCs/>
              </w:rPr>
              <w:t>ppeal</w:t>
            </w:r>
            <w:r w:rsidR="0001391B">
              <w:rPr>
                <w:bCs/>
              </w:rPr>
              <w:t xml:space="preserve">. </w:t>
            </w:r>
            <w:r w:rsidR="0001391B" w:rsidRPr="009D2B9B">
              <w:rPr>
                <w:bCs/>
              </w:rPr>
              <w:t xml:space="preserve"> </w:t>
            </w:r>
            <w:r w:rsidR="00636AA6">
              <w:rPr>
                <w:b w:val="0"/>
                <w:bCs/>
              </w:rPr>
              <w:t>Recognizes that a transfer permit can be denied if the proposed transferee is a danger to self or others.</w:t>
            </w:r>
          </w:p>
        </w:tc>
      </w:tr>
    </w:tbl>
    <w:p w:rsidR="00E35884" w:rsidRDefault="00E35884" w:rsidP="00175B7B">
      <w:pPr>
        <w:pStyle w:val="Sectionnumber"/>
        <w:numPr>
          <w:ilvl w:val="0"/>
          <w:numId w:val="0"/>
        </w:numPr>
        <w:sectPr w:rsidR="00E35884" w:rsidSect="00AB4866">
          <w:type w:val="continuous"/>
          <w:pgSz w:w="12240" w:h="15840" w:code="1"/>
          <w:pgMar w:top="720" w:right="1080" w:bottom="576" w:left="1080" w:header="720" w:footer="288" w:gutter="0"/>
          <w:cols w:space="720"/>
          <w:docGrid w:linePitch="326"/>
        </w:sectPr>
      </w:pPr>
    </w:p>
    <w:tbl>
      <w:tblPr>
        <w:tblW w:w="10296" w:type="dxa"/>
        <w:tblCellMar>
          <w:left w:w="58" w:type="dxa"/>
          <w:right w:w="58" w:type="dxa"/>
        </w:tblCellMar>
        <w:tblLook w:val="0000"/>
      </w:tblPr>
      <w:tblGrid>
        <w:gridCol w:w="1195"/>
        <w:gridCol w:w="9101"/>
      </w:tblGrid>
      <w:tr w:rsidR="00E35884" w:rsidTr="00E35884">
        <w:tc>
          <w:tcPr>
            <w:tcW w:w="10296" w:type="dxa"/>
            <w:gridSpan w:val="2"/>
            <w:tcMar>
              <w:top w:w="288" w:type="dxa"/>
              <w:bottom w:w="115" w:type="dxa"/>
              <w:right w:w="43" w:type="dxa"/>
            </w:tcMar>
          </w:tcPr>
          <w:p w:rsidR="00E35884" w:rsidRDefault="00E35884" w:rsidP="00E35884">
            <w:pPr>
              <w:pStyle w:val="Heading1"/>
            </w:pPr>
            <w:r>
              <w:lastRenderedPageBreak/>
              <w:t xml:space="preserve">Article 2: </w:t>
            </w:r>
            <w:r w:rsidR="00721578">
              <w:t>Persons Ineligible to Possess Firearms</w:t>
            </w:r>
          </w:p>
          <w:p w:rsidR="00E35884" w:rsidRDefault="00E35884" w:rsidP="00E35884">
            <w:pPr>
              <w:jc w:val="center"/>
              <w:rPr>
                <w:b/>
              </w:rPr>
            </w:pPr>
            <w:r>
              <w:rPr>
                <w:b/>
                <w:sz w:val="32"/>
              </w:rPr>
              <w:t>Overview</w:t>
            </w:r>
          </w:p>
          <w:p w:rsidR="00E35884" w:rsidRPr="00E35884" w:rsidRDefault="00721578" w:rsidP="00721578">
            <w:pPr>
              <w:ind w:left="1080" w:right="835"/>
            </w:pPr>
            <w:r>
              <w:t>This article contains a variety of provisions intended to keep ineligible persons from possessing firearms and ammunition and increases and creates new criminal penalties for ineligible persons who seek to acquire firearms and those who would aid ineligible offenders in obtaining firearms.</w:t>
            </w:r>
          </w:p>
        </w:tc>
      </w:tr>
      <w:tr w:rsidR="00721578">
        <w:tc>
          <w:tcPr>
            <w:tcW w:w="1195" w:type="dxa"/>
            <w:tcMar>
              <w:right w:w="43" w:type="dxa"/>
            </w:tcMar>
          </w:tcPr>
          <w:p w:rsidR="00721578" w:rsidRDefault="00721578" w:rsidP="00721578">
            <w:pPr>
              <w:pStyle w:val="Sectionnumber"/>
              <w:numPr>
                <w:ilvl w:val="0"/>
                <w:numId w:val="35"/>
              </w:numPr>
              <w:ind w:left="360"/>
            </w:pPr>
          </w:p>
        </w:tc>
        <w:tc>
          <w:tcPr>
            <w:tcW w:w="9101" w:type="dxa"/>
          </w:tcPr>
          <w:p w:rsidR="00721578" w:rsidRPr="00E068CA" w:rsidRDefault="00721578" w:rsidP="00CA2015">
            <w:pPr>
              <w:pStyle w:val="Sectionnumber"/>
              <w:numPr>
                <w:ilvl w:val="0"/>
                <w:numId w:val="0"/>
              </w:numPr>
              <w:rPr>
                <w:b w:val="0"/>
              </w:rPr>
            </w:pPr>
            <w:r>
              <w:rPr>
                <w:bCs/>
              </w:rPr>
              <w:t>Lifetime ban on possession of firearms.</w:t>
            </w:r>
            <w:r>
              <w:rPr>
                <w:b w:val="0"/>
                <w:bCs/>
              </w:rPr>
              <w:t xml:space="preserve">  Bars an offender who is convicted of either the crime of falsely reporting a lost or stolen firearm or the crime of transferring a firearm to an ineligible person from possessing firearms for the remainder of the offender’s life.</w:t>
            </w:r>
          </w:p>
        </w:tc>
      </w:tr>
      <w:tr w:rsidR="00721578">
        <w:tc>
          <w:tcPr>
            <w:tcW w:w="1195" w:type="dxa"/>
            <w:tcMar>
              <w:right w:w="43" w:type="dxa"/>
            </w:tcMar>
          </w:tcPr>
          <w:p w:rsidR="00721578" w:rsidRDefault="00721578" w:rsidP="00721578">
            <w:pPr>
              <w:pStyle w:val="Sectionnumber"/>
              <w:numPr>
                <w:ilvl w:val="0"/>
                <w:numId w:val="35"/>
              </w:numPr>
              <w:ind w:left="360"/>
            </w:pPr>
          </w:p>
        </w:tc>
        <w:tc>
          <w:tcPr>
            <w:tcW w:w="9101" w:type="dxa"/>
          </w:tcPr>
          <w:p w:rsidR="00721578" w:rsidRPr="00283D0D" w:rsidRDefault="00721578" w:rsidP="00CA2015">
            <w:pPr>
              <w:pStyle w:val="Sectionnumber"/>
              <w:numPr>
                <w:ilvl w:val="0"/>
                <w:numId w:val="0"/>
              </w:numPr>
              <w:rPr>
                <w:b w:val="0"/>
                <w:bCs/>
              </w:rPr>
            </w:pPr>
            <w:r>
              <w:rPr>
                <w:bCs/>
              </w:rPr>
              <w:t>Lost or stolen firearms; false reporting.</w:t>
            </w:r>
            <w:r>
              <w:rPr>
                <w:b w:val="0"/>
                <w:bCs/>
              </w:rPr>
              <w:t xml:space="preserve">  Establishes the offense of falsely reporting the loss or theft of a firearm as a gross misdemeanor.  Establishes a felony level offense for a subsequent violation or if the offender knows that the firearm that is falsely reported as missing will be used in a felony crime of violence.</w:t>
            </w:r>
          </w:p>
        </w:tc>
      </w:tr>
      <w:tr w:rsidR="00721578" w:rsidTr="00721578">
        <w:trPr>
          <w:cantSplit/>
        </w:trPr>
        <w:tc>
          <w:tcPr>
            <w:tcW w:w="1195" w:type="dxa"/>
            <w:tcMar>
              <w:right w:w="43" w:type="dxa"/>
            </w:tcMar>
          </w:tcPr>
          <w:p w:rsidR="00721578" w:rsidRDefault="00721578" w:rsidP="00721578">
            <w:pPr>
              <w:pStyle w:val="Sectionnumber"/>
              <w:numPr>
                <w:ilvl w:val="0"/>
                <w:numId w:val="35"/>
              </w:numPr>
              <w:ind w:left="360"/>
            </w:pPr>
          </w:p>
        </w:tc>
        <w:tc>
          <w:tcPr>
            <w:tcW w:w="9101" w:type="dxa"/>
          </w:tcPr>
          <w:p w:rsidR="00721578" w:rsidRDefault="00721578" w:rsidP="00CA2015">
            <w:pPr>
              <w:pStyle w:val="Sectionnumber"/>
              <w:numPr>
                <w:ilvl w:val="0"/>
                <w:numId w:val="0"/>
              </w:numPr>
              <w:rPr>
                <w:bCs/>
              </w:rPr>
            </w:pPr>
            <w:r>
              <w:rPr>
                <w:bCs/>
              </w:rPr>
              <w:t>Crime of violence.</w:t>
            </w:r>
            <w:r>
              <w:rPr>
                <w:b w:val="0"/>
                <w:bCs/>
              </w:rPr>
              <w:t xml:space="preserve">  Amends the definition of crime of violence to include violations of felony fifth degree assault, domestic assault by strangulation, and repeat unlawful possession of firearms by juveniles.  A person convicted of a crime of violence is ineligible to possess firearms for the remainder of his life.</w:t>
            </w:r>
          </w:p>
        </w:tc>
      </w:tr>
      <w:tr w:rsidR="00721578">
        <w:tc>
          <w:tcPr>
            <w:tcW w:w="1195" w:type="dxa"/>
            <w:tcMar>
              <w:right w:w="43" w:type="dxa"/>
            </w:tcMar>
          </w:tcPr>
          <w:p w:rsidR="00721578" w:rsidRDefault="00721578" w:rsidP="00721578">
            <w:pPr>
              <w:pStyle w:val="Sectionnumber"/>
              <w:numPr>
                <w:ilvl w:val="0"/>
                <w:numId w:val="35"/>
              </w:numPr>
              <w:ind w:left="360"/>
            </w:pPr>
          </w:p>
        </w:tc>
        <w:tc>
          <w:tcPr>
            <w:tcW w:w="9101" w:type="dxa"/>
          </w:tcPr>
          <w:p w:rsidR="00721578" w:rsidRDefault="00721578" w:rsidP="00CA2015">
            <w:pPr>
              <w:pStyle w:val="Sectionnumber"/>
              <w:numPr>
                <w:ilvl w:val="0"/>
                <w:numId w:val="0"/>
              </w:numPr>
              <w:rPr>
                <w:bCs/>
              </w:rPr>
            </w:pPr>
            <w:r>
              <w:rPr>
                <w:bCs/>
              </w:rPr>
              <w:t xml:space="preserve">Ammunition. </w:t>
            </w:r>
            <w:r>
              <w:rPr>
                <w:b w:val="0"/>
                <w:bCs/>
              </w:rPr>
              <w:t>Defines “ammunition” for purposes of the gun control chapter (624).</w:t>
            </w:r>
          </w:p>
        </w:tc>
      </w:tr>
      <w:tr w:rsidR="00721578">
        <w:tc>
          <w:tcPr>
            <w:tcW w:w="1195" w:type="dxa"/>
            <w:tcMar>
              <w:right w:w="43" w:type="dxa"/>
            </w:tcMar>
          </w:tcPr>
          <w:p w:rsidR="00721578" w:rsidRDefault="00721578" w:rsidP="00721578">
            <w:pPr>
              <w:pStyle w:val="Sectionnumber"/>
              <w:numPr>
                <w:ilvl w:val="0"/>
                <w:numId w:val="35"/>
              </w:numPr>
              <w:ind w:left="360"/>
            </w:pPr>
          </w:p>
        </w:tc>
        <w:tc>
          <w:tcPr>
            <w:tcW w:w="9101" w:type="dxa"/>
          </w:tcPr>
          <w:p w:rsidR="00721578" w:rsidRDefault="00721578" w:rsidP="00801C35">
            <w:pPr>
              <w:pStyle w:val="Sectionnumber"/>
              <w:numPr>
                <w:ilvl w:val="0"/>
                <w:numId w:val="0"/>
              </w:numPr>
              <w:rPr>
                <w:bCs/>
              </w:rPr>
            </w:pPr>
            <w:r>
              <w:rPr>
                <w:bCs/>
              </w:rPr>
              <w:t>Ineligible person.</w:t>
            </w:r>
            <w:r>
              <w:rPr>
                <w:b w:val="0"/>
                <w:bCs/>
              </w:rPr>
              <w:t xml:space="preserve">  </w:t>
            </w:r>
            <w:r w:rsidR="00CA2015">
              <w:rPr>
                <w:b w:val="0"/>
                <w:bCs/>
              </w:rPr>
              <w:t>Clarifies that a</w:t>
            </w:r>
            <w:r w:rsidR="007C2CF5">
              <w:rPr>
                <w:b w:val="0"/>
                <w:bCs/>
              </w:rPr>
              <w:t xml:space="preserve"> person who has been committed by a court because the person i</w:t>
            </w:r>
            <w:r w:rsidR="007C2CF5">
              <w:rPr>
                <w:b w:val="0"/>
              </w:rPr>
              <w:t xml:space="preserve">s mentally ill, developmentally disabled, or mentally ill and dangerous to the public is ineligible to possess firearms even if the court stayed the commitment order. </w:t>
            </w:r>
            <w:r w:rsidR="00CA2015">
              <w:rPr>
                <w:b w:val="0"/>
              </w:rPr>
              <w:t xml:space="preserve"> </w:t>
            </w:r>
            <w:r>
              <w:rPr>
                <w:b w:val="0"/>
                <w:bCs/>
              </w:rPr>
              <w:t>Bars those who are ineligible to possess firearms from possessing ammunition.  Bars offenders who are convicted of either the crime of falsely reporting a lost or stolen firearm or the crime of transferring a firearm to an ineligible person from possessing firearms for the remainder of the offenders’ lives.</w:t>
            </w:r>
          </w:p>
        </w:tc>
      </w:tr>
      <w:tr w:rsidR="00721578" w:rsidTr="00801C35">
        <w:trPr>
          <w:cantSplit/>
        </w:trPr>
        <w:tc>
          <w:tcPr>
            <w:tcW w:w="1195" w:type="dxa"/>
            <w:tcMar>
              <w:right w:w="43" w:type="dxa"/>
            </w:tcMar>
          </w:tcPr>
          <w:p w:rsidR="00721578" w:rsidRDefault="00721578" w:rsidP="00721578">
            <w:pPr>
              <w:pStyle w:val="Sectionnumber"/>
              <w:numPr>
                <w:ilvl w:val="0"/>
                <w:numId w:val="35"/>
              </w:numPr>
              <w:ind w:left="360"/>
            </w:pPr>
          </w:p>
        </w:tc>
        <w:tc>
          <w:tcPr>
            <w:tcW w:w="9101" w:type="dxa"/>
          </w:tcPr>
          <w:p w:rsidR="00721578" w:rsidRDefault="00721578" w:rsidP="00801C35">
            <w:pPr>
              <w:pStyle w:val="Sectionnumber"/>
              <w:numPr>
                <w:ilvl w:val="0"/>
                <w:numId w:val="0"/>
              </w:numPr>
              <w:rPr>
                <w:bCs/>
              </w:rPr>
            </w:pPr>
            <w:r>
              <w:rPr>
                <w:bCs/>
              </w:rPr>
              <w:t>Aiding and abetting.</w:t>
            </w:r>
            <w:r>
              <w:rPr>
                <w:b w:val="0"/>
                <w:bCs/>
              </w:rPr>
              <w:t xml:space="preserve">  Clarifies that a person who aids or abets an ineligible person in violating the ban on possession of firearms or ammunition is also criminally liable for the violation.</w:t>
            </w:r>
          </w:p>
        </w:tc>
      </w:tr>
      <w:tr w:rsidR="00721578">
        <w:tc>
          <w:tcPr>
            <w:tcW w:w="1195" w:type="dxa"/>
            <w:tcMar>
              <w:right w:w="43" w:type="dxa"/>
            </w:tcMar>
          </w:tcPr>
          <w:p w:rsidR="00721578" w:rsidRDefault="00721578" w:rsidP="00721578">
            <w:pPr>
              <w:pStyle w:val="Sectionnumber"/>
              <w:numPr>
                <w:ilvl w:val="0"/>
                <w:numId w:val="35"/>
              </w:numPr>
              <w:ind w:left="360"/>
            </w:pPr>
          </w:p>
        </w:tc>
        <w:tc>
          <w:tcPr>
            <w:tcW w:w="9101" w:type="dxa"/>
          </w:tcPr>
          <w:p w:rsidR="00721578" w:rsidRDefault="00721578" w:rsidP="00721578">
            <w:pPr>
              <w:pStyle w:val="Sectionnumber"/>
              <w:numPr>
                <w:ilvl w:val="0"/>
                <w:numId w:val="0"/>
              </w:numPr>
              <w:rPr>
                <w:b w:val="0"/>
                <w:bCs/>
              </w:rPr>
            </w:pPr>
            <w:r>
              <w:rPr>
                <w:bCs/>
              </w:rPr>
              <w:t>Report of the permit to purchase: penalties.</w:t>
            </w:r>
            <w:r>
              <w:rPr>
                <w:b w:val="0"/>
                <w:bCs/>
              </w:rPr>
              <w:t xml:space="preserve">  Current law provides that a number of </w:t>
            </w:r>
            <w:r>
              <w:rPr>
                <w:b w:val="0"/>
                <w:bCs/>
              </w:rPr>
              <w:lastRenderedPageBreak/>
              <w:t>possible violations of the permit to purchase laws are gross misdemeanor crimes, and that a few are felony crimes.</w:t>
            </w:r>
          </w:p>
          <w:p w:rsidR="00721578" w:rsidRDefault="00721578" w:rsidP="00721578">
            <w:pPr>
              <w:pStyle w:val="Sectionnumber"/>
              <w:numPr>
                <w:ilvl w:val="0"/>
                <w:numId w:val="0"/>
              </w:numPr>
              <w:rPr>
                <w:b w:val="0"/>
                <w:bCs/>
              </w:rPr>
            </w:pPr>
            <w:r>
              <w:rPr>
                <w:b w:val="0"/>
                <w:bCs/>
              </w:rPr>
              <w:t>The bill would add two new felony penalties for:</w:t>
            </w:r>
          </w:p>
          <w:p w:rsidR="00721578" w:rsidRDefault="00721578" w:rsidP="00721578">
            <w:pPr>
              <w:pStyle w:val="Sectionnumber"/>
              <w:numPr>
                <w:ilvl w:val="0"/>
                <w:numId w:val="0"/>
              </w:numPr>
              <w:rPr>
                <w:b w:val="0"/>
                <w:bCs/>
              </w:rPr>
            </w:pPr>
            <w:r>
              <w:rPr>
                <w:b w:val="0"/>
                <w:bCs/>
              </w:rPr>
              <w:t>(1) knowingly transferring a pistol or semi-automatic military-style assault weapon in violation of this section to a prohibited person who uses the firearm in a crime of violence within one year; and</w:t>
            </w:r>
          </w:p>
          <w:p w:rsidR="00721578" w:rsidRDefault="00721578" w:rsidP="003C6E4F">
            <w:pPr>
              <w:pStyle w:val="Sectionnumber"/>
              <w:numPr>
                <w:ilvl w:val="0"/>
                <w:numId w:val="0"/>
              </w:numPr>
              <w:rPr>
                <w:bCs/>
              </w:rPr>
            </w:pPr>
            <w:r>
              <w:rPr>
                <w:b w:val="0"/>
                <w:bCs/>
              </w:rPr>
              <w:t>(2) for a repeat violation.</w:t>
            </w:r>
          </w:p>
        </w:tc>
      </w:tr>
      <w:tr w:rsidR="00721578">
        <w:tc>
          <w:tcPr>
            <w:tcW w:w="1195" w:type="dxa"/>
            <w:tcMar>
              <w:right w:w="43" w:type="dxa"/>
            </w:tcMar>
          </w:tcPr>
          <w:p w:rsidR="00721578" w:rsidRDefault="00721578" w:rsidP="00721578">
            <w:pPr>
              <w:pStyle w:val="Sectionnumber"/>
              <w:numPr>
                <w:ilvl w:val="0"/>
                <w:numId w:val="35"/>
              </w:numPr>
              <w:ind w:left="360"/>
            </w:pPr>
          </w:p>
        </w:tc>
        <w:tc>
          <w:tcPr>
            <w:tcW w:w="9101" w:type="dxa"/>
          </w:tcPr>
          <w:p w:rsidR="00721578" w:rsidRPr="00E64A32" w:rsidRDefault="00721578" w:rsidP="003C6E4F">
            <w:pPr>
              <w:pStyle w:val="Sectionnumber"/>
              <w:numPr>
                <w:ilvl w:val="0"/>
                <w:numId w:val="0"/>
              </w:numPr>
              <w:rPr>
                <w:b w:val="0"/>
                <w:bCs/>
              </w:rPr>
            </w:pPr>
            <w:r>
              <w:rPr>
                <w:bCs/>
              </w:rPr>
              <w:t>Transfer prohibited.</w:t>
            </w:r>
            <w:r>
              <w:rPr>
                <w:b w:val="0"/>
                <w:bCs/>
              </w:rPr>
              <w:t xml:space="preserve">  Expands the gross misdemeanor offense of transferring a firearm to an ineligible person by making the offense apply where the person transferring the weapon “has reason to believe” that the transferee is ineligible to possess firearms. </w:t>
            </w:r>
            <w:r w:rsidR="00E64A32">
              <w:rPr>
                <w:b w:val="0"/>
                <w:bCs/>
              </w:rPr>
              <w:t xml:space="preserve">Also changes the current reference to the firearms eligibility statute (Minn. Stat. § 624.713) to </w:t>
            </w:r>
            <w:r w:rsidR="00E64A32">
              <w:rPr>
                <w:b w:val="0"/>
                <w:bCs/>
                <w:i/>
              </w:rPr>
              <w:t>state or federal law.</w:t>
            </w:r>
          </w:p>
        </w:tc>
      </w:tr>
      <w:tr w:rsidR="00721578">
        <w:tc>
          <w:tcPr>
            <w:tcW w:w="1195" w:type="dxa"/>
            <w:tcMar>
              <w:right w:w="43" w:type="dxa"/>
            </w:tcMar>
          </w:tcPr>
          <w:p w:rsidR="00721578" w:rsidRDefault="00721578" w:rsidP="00721578">
            <w:pPr>
              <w:pStyle w:val="Sectionnumber"/>
              <w:numPr>
                <w:ilvl w:val="0"/>
                <w:numId w:val="35"/>
              </w:numPr>
              <w:ind w:left="360"/>
            </w:pPr>
          </w:p>
        </w:tc>
        <w:tc>
          <w:tcPr>
            <w:tcW w:w="9101" w:type="dxa"/>
          </w:tcPr>
          <w:p w:rsidR="00721578" w:rsidRPr="00F02D77" w:rsidRDefault="00721578" w:rsidP="003C6E4F">
            <w:pPr>
              <w:pStyle w:val="Sectionnumber"/>
              <w:numPr>
                <w:ilvl w:val="0"/>
                <w:numId w:val="0"/>
              </w:numPr>
              <w:rPr>
                <w:b w:val="0"/>
                <w:bCs/>
              </w:rPr>
            </w:pPr>
            <w:r>
              <w:rPr>
                <w:bCs/>
              </w:rPr>
              <w:t>Felony.</w:t>
            </w:r>
            <w:r>
              <w:rPr>
                <w:b w:val="0"/>
                <w:bCs/>
              </w:rPr>
              <w:t xml:space="preserve">  Expands the circumstances that warrant a felony conviction for transferring a firearm to an ineligible person to cases where the “transferor knows, or has reason to believe, the transferee intends to use the weapon in the furtherance of a felony crime of violence.”</w:t>
            </w:r>
          </w:p>
        </w:tc>
      </w:tr>
      <w:tr w:rsidR="00721578">
        <w:tc>
          <w:tcPr>
            <w:tcW w:w="1195" w:type="dxa"/>
            <w:tcMar>
              <w:right w:w="43" w:type="dxa"/>
            </w:tcMar>
          </w:tcPr>
          <w:p w:rsidR="00721578" w:rsidRDefault="00721578" w:rsidP="00721578">
            <w:pPr>
              <w:pStyle w:val="Sectionnumber"/>
              <w:numPr>
                <w:ilvl w:val="0"/>
                <w:numId w:val="35"/>
              </w:numPr>
              <w:ind w:left="360"/>
            </w:pPr>
          </w:p>
        </w:tc>
        <w:tc>
          <w:tcPr>
            <w:tcW w:w="9101" w:type="dxa"/>
          </w:tcPr>
          <w:p w:rsidR="00721578" w:rsidRPr="00F740D1" w:rsidRDefault="00721578" w:rsidP="003C6E4F">
            <w:pPr>
              <w:pStyle w:val="Sectionnumber"/>
              <w:numPr>
                <w:ilvl w:val="0"/>
                <w:numId w:val="0"/>
              </w:numPr>
              <w:rPr>
                <w:b w:val="0"/>
                <w:bCs/>
              </w:rPr>
            </w:pPr>
            <w:r>
              <w:rPr>
                <w:bCs/>
              </w:rPr>
              <w:t>Subsequent eligibility.</w:t>
            </w:r>
            <w:r>
              <w:rPr>
                <w:b w:val="0"/>
                <w:bCs/>
              </w:rPr>
              <w:t xml:space="preserve">  Conforming changes needed to reflect amendments proposed in section 9.</w:t>
            </w:r>
          </w:p>
        </w:tc>
      </w:tr>
      <w:tr w:rsidR="00721578">
        <w:tc>
          <w:tcPr>
            <w:tcW w:w="1195" w:type="dxa"/>
            <w:tcMar>
              <w:right w:w="43" w:type="dxa"/>
            </w:tcMar>
          </w:tcPr>
          <w:p w:rsidR="00721578" w:rsidRDefault="00721578" w:rsidP="00721578">
            <w:pPr>
              <w:pStyle w:val="Sectionnumber"/>
              <w:numPr>
                <w:ilvl w:val="0"/>
                <w:numId w:val="35"/>
              </w:numPr>
              <w:ind w:left="360"/>
            </w:pPr>
          </w:p>
        </w:tc>
        <w:tc>
          <w:tcPr>
            <w:tcW w:w="9101" w:type="dxa"/>
          </w:tcPr>
          <w:p w:rsidR="00721578" w:rsidRPr="007F24C4" w:rsidRDefault="00721578" w:rsidP="00F04071">
            <w:pPr>
              <w:pStyle w:val="Sectionnumber"/>
              <w:numPr>
                <w:ilvl w:val="0"/>
                <w:numId w:val="0"/>
              </w:numPr>
              <w:rPr>
                <w:b w:val="0"/>
                <w:bCs/>
              </w:rPr>
            </w:pPr>
            <w:r>
              <w:rPr>
                <w:bCs/>
              </w:rPr>
              <w:t>Repealer</w:t>
            </w:r>
            <w:r w:rsidR="007C2CF5">
              <w:rPr>
                <w:bCs/>
              </w:rPr>
              <w:t xml:space="preserve">. </w:t>
            </w:r>
            <w:r w:rsidR="007C2CF5">
              <w:rPr>
                <w:b w:val="0"/>
                <w:bCs/>
              </w:rPr>
              <w:t>Repeals section 609.66, subdivision 1f, which provides penalties for non-FLLs who knowingly transfer firearms to ineligible persons or persons who intend to use the firearms in a felony.  This crime has been amended and recodified in section 7.  Also repeals section 614.7132, subdivision 14, which allows firearm transfers between private citizens, neither of whom are federally licensed firearms dealers.</w:t>
            </w:r>
          </w:p>
        </w:tc>
      </w:tr>
    </w:tbl>
    <w:p w:rsidR="00076F8C" w:rsidRDefault="00076F8C">
      <w:pPr>
        <w:tabs>
          <w:tab w:val="left" w:pos="0"/>
          <w:tab w:val="left" w:pos="1980"/>
          <w:tab w:val="left" w:pos="2340"/>
          <w:tab w:val="left" w:pos="2700"/>
          <w:tab w:val="left" w:pos="3060"/>
        </w:tabs>
        <w:ind w:right="360"/>
      </w:pPr>
    </w:p>
    <w:sectPr w:rsidR="00076F8C" w:rsidSect="00E35884">
      <w:type w:val="continuous"/>
      <w:pgSz w:w="12240" w:h="15840" w:code="1"/>
      <w:pgMar w:top="720" w:right="1080" w:bottom="576" w:left="1080" w:header="720"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5C6" w:rsidRDefault="001515C6">
      <w:pPr>
        <w:spacing w:after="0"/>
      </w:pPr>
      <w:r>
        <w:separator/>
      </w:r>
    </w:p>
  </w:endnote>
  <w:endnote w:type="continuationSeparator" w:id="0">
    <w:p w:rsidR="001515C6" w:rsidRDefault="001515C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578" w:rsidRDefault="00C54AF4">
    <w:pPr>
      <w:pStyle w:val="Header"/>
      <w:spacing w:line="240" w:lineRule="exact"/>
      <w:rPr>
        <w:noProof/>
      </w:rPr>
    </w:pPr>
    <w:r>
      <w:rPr>
        <w:noProof/>
      </w:rPr>
      <w:pict>
        <v:line id="_x0000_s2050" style="position:absolute;z-index:251657216" from="-22.95pt,14.75pt" to="517.05pt,14.75pt" strokeweight="1.5pt"/>
      </w:pict>
    </w:r>
  </w:p>
  <w:p w:rsidR="00721578" w:rsidRDefault="00C54AF4">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721578">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721578">
          <w:rPr>
            <w:rFonts w:ascii="Arial" w:hAnsi="Arial"/>
          </w:rPr>
          <w:t>Research Department</w:t>
        </w:r>
      </w:smartTag>
      <w:r w:rsidR="00721578">
        <w:rPr>
          <w:rFonts w:ascii="Arial" w:hAnsi="Arial"/>
        </w:rPr>
        <w:tab/>
      </w:r>
      <w:smartTag w:uri="urn:schemas-microsoft-com:office:smarttags" w:element="State">
        <w:r w:rsidR="00721578">
          <w:rPr>
            <w:rFonts w:ascii="Arial" w:hAnsi="Arial"/>
          </w:rPr>
          <w:t>Minnesota</w:t>
        </w:r>
      </w:smartTag>
    </w:smartTag>
    <w:r w:rsidR="00721578">
      <w:rPr>
        <w:rFonts w:ascii="Arial" w:hAnsi="Arial"/>
      </w:rPr>
      <w:t xml:space="preserve"> House of Representatives</w:t>
    </w:r>
    <w:r w:rsidR="00721578">
      <w:rPr>
        <w:rFonts w:ascii="Arial" w:hAnsi="Arial"/>
      </w:rPr>
      <w:tab/>
      <w:t>600 State Office Building</w:t>
    </w:r>
  </w:p>
  <w:p w:rsidR="00721578" w:rsidRDefault="00721578">
    <w:pPr>
      <w:pStyle w:val="Footer"/>
      <w:tabs>
        <w:tab w:val="clear" w:pos="4320"/>
        <w:tab w:val="clear" w:pos="8640"/>
        <w:tab w:val="right" w:pos="10350"/>
      </w:tabs>
      <w:rPr>
        <w:sz w:val="18"/>
      </w:rPr>
    </w:pPr>
    <w:r>
      <w:rPr>
        <w:rFonts w:ascii="Arial" w:hAnsi="Arial"/>
      </w:rPr>
      <w:tab/>
    </w:r>
    <w:r w:rsidR="00C54AF4">
      <w:rPr>
        <w:sz w:val="18"/>
      </w:rPr>
      <w:fldChar w:fldCharType="begin"/>
    </w:r>
    <w:r>
      <w:rPr>
        <w:sz w:val="18"/>
      </w:rPr>
      <w:instrText xml:space="preserve"> FILENAME \p </w:instrText>
    </w:r>
    <w:r w:rsidR="00C54AF4">
      <w:rPr>
        <w:sz w:val="18"/>
      </w:rPr>
      <w:fldChar w:fldCharType="separate"/>
    </w:r>
    <w:r w:rsidR="002B731F">
      <w:rPr>
        <w:noProof/>
        <w:sz w:val="18"/>
      </w:rPr>
      <w:t>G:\Summaries\2013\0237de5 Paymar.jdjc.docx</w:t>
    </w:r>
    <w:r w:rsidR="00C54AF4">
      <w:rPr>
        <w:sz w:val="18"/>
      </w:rPr>
      <w:fldChar w:fldCharType="end"/>
    </w:r>
    <w:r>
      <w:rPr>
        <w:sz w:val="18"/>
      </w:rPr>
      <w:t xml:space="preserve">  Last printed </w:t>
    </w:r>
    <w:r w:rsidR="00C54AF4">
      <w:rPr>
        <w:sz w:val="18"/>
      </w:rPr>
      <w:fldChar w:fldCharType="begin"/>
    </w:r>
    <w:r>
      <w:rPr>
        <w:sz w:val="18"/>
      </w:rPr>
      <w:instrText xml:space="preserve"> PRINTDATE </w:instrText>
    </w:r>
    <w:r w:rsidR="00C54AF4">
      <w:rPr>
        <w:sz w:val="18"/>
      </w:rPr>
      <w:fldChar w:fldCharType="separate"/>
    </w:r>
    <w:r w:rsidR="002B731F">
      <w:rPr>
        <w:noProof/>
        <w:sz w:val="18"/>
      </w:rPr>
      <w:t>2/28/2013 12:52:00 PM</w:t>
    </w:r>
    <w:r w:rsidR="00C54AF4">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578" w:rsidRDefault="00C54AF4">
    <w:pPr>
      <w:pStyle w:val="Header"/>
      <w:spacing w:line="240" w:lineRule="exact"/>
      <w:rPr>
        <w:noProof/>
      </w:rPr>
    </w:pPr>
    <w:r>
      <w:rPr>
        <w:noProof/>
      </w:rPr>
      <w:pict>
        <v:line id="_x0000_s2049" style="position:absolute;z-index:251656192" from="-22.95pt,14.75pt" to="517.05pt,14.75pt" strokeweight="1.5pt"/>
      </w:pict>
    </w:r>
  </w:p>
  <w:p w:rsidR="00721578" w:rsidRDefault="00C54AF4">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721578">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721578">
          <w:rPr>
            <w:rFonts w:ascii="Arial" w:hAnsi="Arial"/>
          </w:rPr>
          <w:t>Research Department</w:t>
        </w:r>
      </w:smartTag>
      <w:r w:rsidR="00721578">
        <w:rPr>
          <w:rFonts w:ascii="Arial" w:hAnsi="Arial"/>
        </w:rPr>
        <w:tab/>
      </w:r>
      <w:smartTag w:uri="urn:schemas-microsoft-com:office:smarttags" w:element="State">
        <w:r w:rsidR="00721578">
          <w:rPr>
            <w:rFonts w:ascii="Arial" w:hAnsi="Arial"/>
          </w:rPr>
          <w:t>Minnesota</w:t>
        </w:r>
      </w:smartTag>
    </w:smartTag>
    <w:r w:rsidR="00721578">
      <w:rPr>
        <w:rFonts w:ascii="Arial" w:hAnsi="Arial"/>
      </w:rPr>
      <w:t xml:space="preserve"> House of Representatives</w:t>
    </w:r>
    <w:r w:rsidR="00721578">
      <w:rPr>
        <w:rFonts w:ascii="Arial" w:hAnsi="Arial"/>
      </w:rPr>
      <w:tab/>
      <w:t>600 State Office Building</w:t>
    </w:r>
  </w:p>
  <w:p w:rsidR="00721578" w:rsidRDefault="00721578">
    <w:pPr>
      <w:pStyle w:val="Footer"/>
      <w:tabs>
        <w:tab w:val="clear" w:pos="4320"/>
        <w:tab w:val="clear" w:pos="8640"/>
        <w:tab w:val="right" w:pos="10350"/>
      </w:tabs>
      <w:spacing w:before="0"/>
      <w:rPr>
        <w:sz w:val="18"/>
      </w:rPr>
    </w:pPr>
    <w:r>
      <w:tab/>
    </w:r>
    <w:r w:rsidR="00C54AF4">
      <w:rPr>
        <w:snapToGrid w:val="0"/>
        <w:sz w:val="18"/>
      </w:rPr>
      <w:fldChar w:fldCharType="begin"/>
    </w:r>
    <w:r>
      <w:rPr>
        <w:snapToGrid w:val="0"/>
        <w:sz w:val="18"/>
      </w:rPr>
      <w:instrText xml:space="preserve"> FILENAME \p </w:instrText>
    </w:r>
    <w:r w:rsidR="00C54AF4">
      <w:rPr>
        <w:snapToGrid w:val="0"/>
        <w:sz w:val="18"/>
      </w:rPr>
      <w:fldChar w:fldCharType="separate"/>
    </w:r>
    <w:r w:rsidR="002B731F">
      <w:rPr>
        <w:noProof/>
        <w:snapToGrid w:val="0"/>
        <w:sz w:val="18"/>
      </w:rPr>
      <w:t>G:\Summaries\2013\0237de5 Paymar.jdjc.docx</w:t>
    </w:r>
    <w:r w:rsidR="00C54AF4">
      <w:rPr>
        <w:snapToGrid w:val="0"/>
        <w:sz w:val="18"/>
      </w:rPr>
      <w:fldChar w:fldCharType="end"/>
    </w:r>
    <w:r>
      <w:rPr>
        <w:snapToGrid w:val="0"/>
        <w:sz w:val="18"/>
      </w:rPr>
      <w:t xml:space="preserve">  Last printed </w:t>
    </w:r>
    <w:r w:rsidR="00C54AF4">
      <w:rPr>
        <w:snapToGrid w:val="0"/>
        <w:sz w:val="18"/>
      </w:rPr>
      <w:fldChar w:fldCharType="begin"/>
    </w:r>
    <w:r>
      <w:rPr>
        <w:snapToGrid w:val="0"/>
        <w:sz w:val="18"/>
      </w:rPr>
      <w:instrText xml:space="preserve"> PRINTDATE </w:instrText>
    </w:r>
    <w:r w:rsidR="00C54AF4">
      <w:rPr>
        <w:snapToGrid w:val="0"/>
        <w:sz w:val="18"/>
      </w:rPr>
      <w:fldChar w:fldCharType="separate"/>
    </w:r>
    <w:r w:rsidR="002B731F">
      <w:rPr>
        <w:noProof/>
        <w:snapToGrid w:val="0"/>
        <w:sz w:val="18"/>
      </w:rPr>
      <w:t>2/28/2013 12:52:00 PM</w:t>
    </w:r>
    <w:r w:rsidR="00C54AF4">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5C6" w:rsidRDefault="001515C6">
      <w:pPr>
        <w:spacing w:after="0"/>
      </w:pPr>
      <w:r>
        <w:separator/>
      </w:r>
    </w:p>
  </w:footnote>
  <w:footnote w:type="continuationSeparator" w:id="0">
    <w:p w:rsidR="001515C6" w:rsidRDefault="001515C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1F" w:rsidRDefault="002B731F">
    <w:pPr>
      <w:pStyle w:val="Header"/>
    </w:pPr>
    <w:r w:rsidRPr="002B731F">
      <w:t>H.F. 237</w:t>
    </w:r>
    <w:r w:rsidRPr="002B731F">
      <w:tab/>
    </w:r>
    <w:r>
      <w:tab/>
    </w:r>
    <w:r w:rsidRPr="002B731F">
      <w:t>February 28, 2013</w:t>
    </w:r>
  </w:p>
  <w:p w:rsidR="002B731F" w:rsidRDefault="002B731F">
    <w:pPr>
      <w:pStyle w:val="Header"/>
    </w:pPr>
    <w:r w:rsidRPr="002B731F">
      <w:t>Version:</w:t>
    </w:r>
    <w:r w:rsidRPr="002B731F">
      <w:tab/>
      <w:t>Delete-everything amendment (H0237DE5)</w:t>
    </w:r>
    <w:r>
      <w:tab/>
      <w:t xml:space="preserve">Page </w:t>
    </w:r>
    <w:fldSimple w:instr=" PAGE  \* MERGEFORMAT ">
      <w:r w:rsidR="00F02D9D">
        <w:rPr>
          <w:noProof/>
        </w:rPr>
        <w:t>4</w:t>
      </w:r>
    </w:fldSimple>
  </w:p>
  <w:p w:rsidR="002B731F" w:rsidRDefault="002B731F">
    <w:pPr>
      <w:pStyle w:val="Header"/>
    </w:pPr>
  </w:p>
  <w:p w:rsidR="002B731F" w:rsidRPr="002B731F" w:rsidRDefault="002B731F" w:rsidP="002B731F">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07DA8348"/>
    <w:lvl w:ilvl="0" w:tplc="F70E9D82">
      <w:start w:val="1"/>
      <w:numFmt w:val="decimal"/>
      <w:lvlRestart w:val="0"/>
      <w:lvlText w:val="%1"/>
      <w:lvlJc w:val="left"/>
      <w:pPr>
        <w:tabs>
          <w:tab w:val="num" w:pos="360"/>
        </w:tabs>
        <w:ind w:left="0" w:firstLine="0"/>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050359"/>
    <w:multiLevelType w:val="hybridMultilevel"/>
    <w:tmpl w:val="30DAA3B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6A0179"/>
    <w:multiLevelType w:val="singleLevel"/>
    <w:tmpl w:val="0BD8BFB8"/>
    <w:lvl w:ilvl="0">
      <w:start w:val="1"/>
      <w:numFmt w:val="decimal"/>
      <w:lvlText w:val="%1"/>
      <w:lvlJc w:val="left"/>
      <w:pPr>
        <w:tabs>
          <w:tab w:val="num" w:pos="360"/>
        </w:tabs>
        <w:ind w:left="360" w:hanging="360"/>
      </w:pPr>
    </w:lvl>
  </w:abstractNum>
  <w:abstractNum w:abstractNumId="7">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B74449"/>
    <w:multiLevelType w:val="singleLevel"/>
    <w:tmpl w:val="EC02AB28"/>
    <w:lvl w:ilvl="0">
      <w:start w:val="1"/>
      <w:numFmt w:val="decimal"/>
      <w:lvlText w:val="%1"/>
      <w:lvlJc w:val="left"/>
      <w:pPr>
        <w:tabs>
          <w:tab w:val="num" w:pos="360"/>
        </w:tabs>
        <w:ind w:left="360" w:hanging="360"/>
      </w:pPr>
    </w:lvl>
  </w:abstractNum>
  <w:abstractNum w:abstractNumId="10">
    <w:nsid w:val="379211D8"/>
    <w:multiLevelType w:val="hybridMultilevel"/>
    <w:tmpl w:val="9D7E6A9A"/>
    <w:lvl w:ilvl="0" w:tplc="1234B22A">
      <w:start w:val="1"/>
      <w:numFmt w:val="decimal"/>
      <w:lvlRestart w:val="0"/>
      <w:pStyle w:val="Sectionnumber"/>
      <w:lvlText w:val="%1"/>
      <w:lvlJc w:val="left"/>
      <w:pPr>
        <w:tabs>
          <w:tab w:val="num" w:pos="360"/>
        </w:tabs>
        <w:ind w:left="0" w:firstLine="0"/>
      </w:pPr>
      <w:rPr>
        <w:rFonts w:ascii="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2">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DF5F8A"/>
    <w:multiLevelType w:val="hybridMultilevel"/>
    <w:tmpl w:val="FC1EA6D8"/>
    <w:lvl w:ilvl="0" w:tplc="762CF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2E6ED6"/>
    <w:multiLevelType w:val="hybridMultilevel"/>
    <w:tmpl w:val="D0EC9DCE"/>
    <w:lvl w:ilvl="0" w:tplc="57780C10">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9">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9"/>
  </w:num>
  <w:num w:numId="4">
    <w:abstractNumId w:val="0"/>
  </w:num>
  <w:num w:numId="5">
    <w:abstractNumId w:val="4"/>
  </w:num>
  <w:num w:numId="6">
    <w:abstractNumId w:val="13"/>
  </w:num>
  <w:num w:numId="7">
    <w:abstractNumId w:val="19"/>
  </w:num>
  <w:num w:numId="8">
    <w:abstractNumId w:val="8"/>
  </w:num>
  <w:num w:numId="9">
    <w:abstractNumId w:val="11"/>
  </w:num>
  <w:num w:numId="10">
    <w:abstractNumId w:val="2"/>
  </w:num>
  <w:num w:numId="11">
    <w:abstractNumId w:val="18"/>
  </w:num>
  <w:num w:numId="12">
    <w:abstractNumId w:val="15"/>
  </w:num>
  <w:num w:numId="13">
    <w:abstractNumId w:val="12"/>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7"/>
  </w:num>
  <w:num w:numId="28">
    <w:abstractNumId w:val="17"/>
  </w:num>
  <w:num w:numId="29">
    <w:abstractNumId w:val="0"/>
  </w:num>
  <w:num w:numId="30">
    <w:abstractNumId w:val="0"/>
  </w:num>
  <w:num w:numId="31">
    <w:abstractNumId w:val="3"/>
  </w:num>
  <w:num w:numId="32">
    <w:abstractNumId w:val="16"/>
  </w:num>
  <w:num w:numId="33">
    <w:abstractNumId w:val="0"/>
    <w:lvlOverride w:ilvl="0">
      <w:startOverride w:val="1"/>
    </w:lvlOverride>
  </w:num>
  <w:num w:numId="34">
    <w:abstractNumId w:val="10"/>
  </w:num>
  <w:num w:numId="35">
    <w:abstractNumId w:val="14"/>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
  <w:rsids>
    <w:rsidRoot w:val="00E56850"/>
    <w:rsid w:val="0001391B"/>
    <w:rsid w:val="000423C7"/>
    <w:rsid w:val="00076F8C"/>
    <w:rsid w:val="000B3E09"/>
    <w:rsid w:val="000C43F5"/>
    <w:rsid w:val="000E4A59"/>
    <w:rsid w:val="001310B3"/>
    <w:rsid w:val="001515C6"/>
    <w:rsid w:val="00175B7B"/>
    <w:rsid w:val="00176396"/>
    <w:rsid w:val="00197066"/>
    <w:rsid w:val="001A2103"/>
    <w:rsid w:val="001B56BD"/>
    <w:rsid w:val="001E643B"/>
    <w:rsid w:val="002363E5"/>
    <w:rsid w:val="002570A8"/>
    <w:rsid w:val="00266735"/>
    <w:rsid w:val="002B114A"/>
    <w:rsid w:val="002B731F"/>
    <w:rsid w:val="002E0685"/>
    <w:rsid w:val="002E37EC"/>
    <w:rsid w:val="00346482"/>
    <w:rsid w:val="00371FF4"/>
    <w:rsid w:val="00395804"/>
    <w:rsid w:val="003C6E4F"/>
    <w:rsid w:val="00405797"/>
    <w:rsid w:val="00446541"/>
    <w:rsid w:val="00465165"/>
    <w:rsid w:val="004B3EE4"/>
    <w:rsid w:val="004C3E56"/>
    <w:rsid w:val="004C622E"/>
    <w:rsid w:val="004D0B6F"/>
    <w:rsid w:val="00560DF7"/>
    <w:rsid w:val="005C6AF3"/>
    <w:rsid w:val="005E4BEA"/>
    <w:rsid w:val="00606CC9"/>
    <w:rsid w:val="0061193C"/>
    <w:rsid w:val="00612570"/>
    <w:rsid w:val="006231A4"/>
    <w:rsid w:val="006300C8"/>
    <w:rsid w:val="0063124A"/>
    <w:rsid w:val="00636AA6"/>
    <w:rsid w:val="0064667F"/>
    <w:rsid w:val="00663FC3"/>
    <w:rsid w:val="006B7F48"/>
    <w:rsid w:val="00721578"/>
    <w:rsid w:val="0072157D"/>
    <w:rsid w:val="00747C1C"/>
    <w:rsid w:val="007B7C5C"/>
    <w:rsid w:val="007C2CF5"/>
    <w:rsid w:val="00801C35"/>
    <w:rsid w:val="00817A84"/>
    <w:rsid w:val="0082640C"/>
    <w:rsid w:val="008345F2"/>
    <w:rsid w:val="00843D26"/>
    <w:rsid w:val="00866D4D"/>
    <w:rsid w:val="00881C41"/>
    <w:rsid w:val="008A6C19"/>
    <w:rsid w:val="008C249D"/>
    <w:rsid w:val="009042EC"/>
    <w:rsid w:val="00905BEE"/>
    <w:rsid w:val="009769AA"/>
    <w:rsid w:val="009B38F7"/>
    <w:rsid w:val="009D2B9B"/>
    <w:rsid w:val="009D4386"/>
    <w:rsid w:val="009E7C64"/>
    <w:rsid w:val="00A23D76"/>
    <w:rsid w:val="00A62D49"/>
    <w:rsid w:val="00A66C4A"/>
    <w:rsid w:val="00A80937"/>
    <w:rsid w:val="00A82018"/>
    <w:rsid w:val="00A8513B"/>
    <w:rsid w:val="00AB4866"/>
    <w:rsid w:val="00AB78BA"/>
    <w:rsid w:val="00B03AAF"/>
    <w:rsid w:val="00B060BA"/>
    <w:rsid w:val="00B46403"/>
    <w:rsid w:val="00B70B63"/>
    <w:rsid w:val="00B76BD4"/>
    <w:rsid w:val="00B94C6E"/>
    <w:rsid w:val="00BD5F82"/>
    <w:rsid w:val="00BE35F6"/>
    <w:rsid w:val="00C1041D"/>
    <w:rsid w:val="00C54AF4"/>
    <w:rsid w:val="00C80B56"/>
    <w:rsid w:val="00C94755"/>
    <w:rsid w:val="00CA1E29"/>
    <w:rsid w:val="00CA2015"/>
    <w:rsid w:val="00CA3163"/>
    <w:rsid w:val="00CB198F"/>
    <w:rsid w:val="00CD2C9F"/>
    <w:rsid w:val="00CD4B88"/>
    <w:rsid w:val="00D33F41"/>
    <w:rsid w:val="00D451C0"/>
    <w:rsid w:val="00D6546B"/>
    <w:rsid w:val="00D67A09"/>
    <w:rsid w:val="00DB140F"/>
    <w:rsid w:val="00DB4A1A"/>
    <w:rsid w:val="00DE6C77"/>
    <w:rsid w:val="00E02F68"/>
    <w:rsid w:val="00E33E06"/>
    <w:rsid w:val="00E35884"/>
    <w:rsid w:val="00E56850"/>
    <w:rsid w:val="00E64A32"/>
    <w:rsid w:val="00E70DAD"/>
    <w:rsid w:val="00E91DDD"/>
    <w:rsid w:val="00EB4CD2"/>
    <w:rsid w:val="00EE2A05"/>
    <w:rsid w:val="00F02D9D"/>
    <w:rsid w:val="00F04071"/>
    <w:rsid w:val="00F10331"/>
    <w:rsid w:val="00F43E68"/>
    <w:rsid w:val="00F4578C"/>
    <w:rsid w:val="00F95A2D"/>
    <w:rsid w:val="00FA0986"/>
    <w:rsid w:val="00FA2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34"/>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styleId="ListParagraph">
    <w:name w:val="List Paragraph"/>
    <w:basedOn w:val="Normal"/>
    <w:uiPriority w:val="34"/>
    <w:qFormat/>
    <w:rsid w:val="00881C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1</TotalTime>
  <Pages>4</Pages>
  <Words>1480</Words>
  <Characters>7822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Jim Cleary</dc:creator>
  <cp:lastModifiedBy>Software Administration</cp:lastModifiedBy>
  <cp:revision>2</cp:revision>
  <cp:lastPrinted>2013-02-28T18:52:00Z</cp:lastPrinted>
  <dcterms:created xsi:type="dcterms:W3CDTF">2013-03-18T13:47:00Z</dcterms:created>
  <dcterms:modified xsi:type="dcterms:W3CDTF">2013-03-18T13:47:00Z</dcterms:modified>
</cp:coreProperties>
</file>