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604ED1">
        <w:trPr>
          <w:jc w:val="center"/>
        </w:trPr>
        <w:tc>
          <w:tcPr>
            <w:tcW w:w="7020" w:type="dxa"/>
          </w:tcPr>
          <w:p w:rsidR="004171DA" w:rsidRDefault="00430B59" w:rsidP="00E173B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4A2613">
              <w:rPr>
                <w:sz w:val="40"/>
              </w:rPr>
              <w:t>:</w:t>
            </w:r>
            <w:r w:rsidR="00080C2F">
              <w:rPr>
                <w:sz w:val="40"/>
              </w:rPr>
              <w:t xml:space="preserve"> 800</w:t>
            </w:r>
            <w:r w:rsidR="00CE4701">
              <w:rPr>
                <w:sz w:val="40"/>
              </w:rPr>
              <w:t>-3</w:t>
            </w:r>
          </w:p>
        </w:tc>
        <w:tc>
          <w:tcPr>
            <w:tcW w:w="7027" w:type="dxa"/>
          </w:tcPr>
          <w:p w:rsidR="004171DA" w:rsidRDefault="004171DA" w:rsidP="004A2613">
            <w:pPr>
              <w:tabs>
                <w:tab w:val="left" w:pos="0"/>
                <w:tab w:val="left" w:pos="1980"/>
                <w:tab w:val="left" w:pos="2340"/>
                <w:tab w:val="left" w:pos="2700"/>
                <w:tab w:val="left" w:pos="3060"/>
              </w:tabs>
              <w:spacing w:before="100" w:beforeAutospacing="1" w:after="0"/>
              <w:ind w:right="360"/>
              <w:jc w:val="center"/>
              <w:rPr>
                <w:sz w:val="40"/>
              </w:rPr>
            </w:pPr>
            <w:r>
              <w:rPr>
                <w:sz w:val="40"/>
              </w:rPr>
              <w:t>House File</w:t>
            </w:r>
            <w:bookmarkStart w:id="1" w:name="Text2"/>
            <w:r w:rsidR="004A2613">
              <w:rPr>
                <w:sz w:val="40"/>
              </w:rPr>
              <w:t>:</w:t>
            </w:r>
            <w:r w:rsidR="00080C2F">
              <w:rPr>
                <w:sz w:val="40"/>
              </w:rPr>
              <w:t xml:space="preserve"> UES0800-</w:t>
            </w:r>
            <w:bookmarkEnd w:id="1"/>
            <w:r w:rsidR="00604ED1">
              <w:rPr>
                <w:sz w:val="40"/>
              </w:rPr>
              <w:t>2</w:t>
            </w:r>
          </w:p>
        </w:tc>
      </w:tr>
      <w:tr w:rsidR="004171DA" w:rsidTr="00604ED1">
        <w:trPr>
          <w:jc w:val="center"/>
        </w:trPr>
        <w:tc>
          <w:tcPr>
            <w:tcW w:w="7020" w:type="dxa"/>
          </w:tcPr>
          <w:p w:rsidR="004171DA" w:rsidRDefault="004171DA" w:rsidP="00CF6F12">
            <w:pPr>
              <w:pStyle w:val="NormalWeb"/>
              <w:jc w:val="center"/>
              <w:rPr>
                <w:sz w:val="48"/>
              </w:rPr>
            </w:pPr>
            <w:r>
              <w:rPr>
                <w:sz w:val="48"/>
              </w:rPr>
              <w:t xml:space="preserve">Article </w:t>
            </w:r>
            <w:r w:rsidR="00CF6F12">
              <w:rPr>
                <w:sz w:val="48"/>
              </w:rPr>
              <w:t>9</w:t>
            </w:r>
            <w:r w:rsidR="00604ED1">
              <w:rPr>
                <w:sz w:val="48"/>
              </w:rPr>
              <w:t>:</w:t>
            </w:r>
            <w:r w:rsidR="00470554">
              <w:rPr>
                <w:sz w:val="48"/>
              </w:rPr>
              <w:t xml:space="preserve"> </w:t>
            </w:r>
            <w:r w:rsidR="00CF6F12">
              <w:rPr>
                <w:sz w:val="48"/>
              </w:rPr>
              <w:t>Operations</w:t>
            </w:r>
          </w:p>
        </w:tc>
        <w:tc>
          <w:tcPr>
            <w:tcW w:w="7027" w:type="dxa"/>
          </w:tcPr>
          <w:p w:rsidR="004171DA" w:rsidRPr="002A1737" w:rsidRDefault="007D3503" w:rsidP="007D3503">
            <w:pPr>
              <w:tabs>
                <w:tab w:val="left" w:pos="0"/>
                <w:tab w:val="left" w:pos="1980"/>
                <w:tab w:val="left" w:pos="2340"/>
                <w:tab w:val="left" w:pos="2700"/>
                <w:tab w:val="left" w:pos="3060"/>
              </w:tabs>
              <w:spacing w:after="100" w:afterAutospacing="1"/>
              <w:ind w:right="360"/>
              <w:jc w:val="center"/>
              <w:rPr>
                <w:i/>
                <w:sz w:val="48"/>
              </w:rPr>
            </w:pPr>
            <w:r>
              <w:rPr>
                <w:sz w:val="48"/>
              </w:rPr>
              <w:t>Article 4: Children and Families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080C2F" w:rsidP="004171DA">
      <w:pPr>
        <w:tabs>
          <w:tab w:val="left" w:pos="0"/>
          <w:tab w:val="left" w:pos="1980"/>
          <w:tab w:val="left" w:pos="2340"/>
          <w:tab w:val="left" w:pos="2700"/>
          <w:tab w:val="left" w:pos="3060"/>
        </w:tabs>
        <w:ind w:right="360"/>
        <w:jc w:val="center"/>
      </w:pPr>
      <w:bookmarkStart w:id="2" w:name="Text3"/>
      <w:r>
        <w:t xml:space="preserve">April </w:t>
      </w:r>
      <w:r w:rsidR="007D3503">
        <w:t>18</w:t>
      </w:r>
      <w:r>
        <w:t>, 2017</w:t>
      </w:r>
      <w:bookmarkEnd w:id="2"/>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604ED1">
      <w:pPr>
        <w:tabs>
          <w:tab w:val="left" w:pos="0"/>
          <w:tab w:val="left" w:pos="1980"/>
          <w:tab w:val="left" w:pos="2340"/>
          <w:tab w:val="left" w:pos="2700"/>
          <w:tab w:val="left" w:pos="3060"/>
        </w:tabs>
        <w:ind w:right="360"/>
        <w:jc w:val="center"/>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604ED1">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04ED1">
            <w:pPr>
              <w:pStyle w:val="Heading1"/>
              <w:spacing w:before="120" w:beforeAutospacing="0" w:after="120" w:afterAutospacing="0"/>
            </w:pPr>
            <w:r>
              <w:lastRenderedPageBreak/>
              <w:t xml:space="preserve">Article </w:t>
            </w:r>
            <w:r w:rsidR="00111816">
              <w:t>9</w:t>
            </w:r>
            <w:r w:rsidR="00080C2F">
              <w:t xml:space="preserve">: </w:t>
            </w:r>
            <w:r w:rsidR="00111816">
              <w:t>Operations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04ED1">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04ED1">
            <w:pPr>
              <w:pStyle w:val="Sectionnumber"/>
              <w:numPr>
                <w:ilvl w:val="0"/>
                <w:numId w:val="0"/>
              </w:numPr>
              <w:spacing w:before="120" w:beforeAutospacing="0" w:after="120" w:afterAutospacing="0"/>
              <w:jc w:val="center"/>
              <w:rPr>
                <w:bCs/>
              </w:rPr>
            </w:pPr>
          </w:p>
        </w:tc>
      </w:tr>
      <w:tr w:rsidR="00CF6F12"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CF6F12" w:rsidRPr="00DE116F" w:rsidRDefault="00CF6F12" w:rsidP="007D3503">
            <w:pPr>
              <w:pStyle w:val="NormalWeb"/>
              <w:spacing w:before="0" w:beforeAutospacing="0" w:after="120" w:afterAutospacing="0"/>
              <w:rPr>
                <w:lang w:val="en"/>
              </w:rPr>
            </w:pPr>
            <w:r w:rsidRPr="00DE116F">
              <w:rPr>
                <w:rStyle w:val="Strong"/>
                <w:lang w:val="en"/>
              </w:rPr>
              <w:t>Section 1 (13.46, subd. 4)</w:t>
            </w:r>
            <w:r w:rsidRPr="00DE116F">
              <w:rPr>
                <w:lang w:val="en"/>
              </w:rPr>
              <w:t xml:space="preserve"> amends the Data Practi</w:t>
            </w:r>
            <w:r w:rsidR="007D3503">
              <w:rPr>
                <w:lang w:val="en"/>
              </w:rPr>
              <w:t xml:space="preserve">ce Act, modifying the meaning of the term “serious injury,” which means an injury that </w:t>
            </w:r>
            <w:r w:rsidR="00E12516">
              <w:rPr>
                <w:lang w:val="en"/>
              </w:rPr>
              <w:t>“</w:t>
            </w:r>
            <w:r w:rsidR="007D3503">
              <w:rPr>
                <w:lang w:val="en"/>
              </w:rPr>
              <w:t>requires treatment,</w:t>
            </w:r>
            <w:r w:rsidR="00E12516">
              <w:rPr>
                <w:lang w:val="en"/>
              </w:rPr>
              <w:t>”</w:t>
            </w:r>
            <w:r w:rsidR="007D3503">
              <w:rPr>
                <w:lang w:val="en"/>
              </w:rPr>
              <w:t xml:space="preserve"> instead of </w:t>
            </w:r>
            <w:r w:rsidR="00E12516">
              <w:rPr>
                <w:lang w:val="en"/>
              </w:rPr>
              <w:t>“</w:t>
            </w:r>
            <w:r w:rsidR="007D3503">
              <w:rPr>
                <w:lang w:val="en"/>
              </w:rPr>
              <w:t>is treated,</w:t>
            </w:r>
            <w:r w:rsidR="00E12516">
              <w:rPr>
                <w:lang w:val="en"/>
              </w:rPr>
              <w:t>”</w:t>
            </w:r>
            <w:r w:rsidR="007D3503">
              <w:rPr>
                <w:lang w:val="en"/>
              </w:rPr>
              <w:t xml:space="preserve"> by a physician</w:t>
            </w:r>
            <w:r w:rsidRPr="00DE116F">
              <w:rPr>
                <w:lang w:val="en"/>
              </w:rPr>
              <w:t>.</w:t>
            </w:r>
          </w:p>
        </w:tc>
        <w:tc>
          <w:tcPr>
            <w:tcW w:w="5760" w:type="dxa"/>
            <w:tcBorders>
              <w:top w:val="single" w:sz="4" w:space="0" w:color="auto"/>
              <w:left w:val="single" w:sz="4" w:space="0" w:color="auto"/>
              <w:bottom w:val="single" w:sz="4" w:space="0" w:color="auto"/>
              <w:right w:val="single" w:sz="4" w:space="0" w:color="auto"/>
            </w:tcBorders>
          </w:tcPr>
          <w:p w:rsidR="00CF6F12" w:rsidRDefault="00152E45" w:rsidP="000337C3">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CF6F12" w:rsidRDefault="00CF6F12" w:rsidP="000337C3">
            <w:pPr>
              <w:pStyle w:val="Sectionnumber"/>
              <w:numPr>
                <w:ilvl w:val="0"/>
                <w:numId w:val="0"/>
              </w:numPr>
              <w:spacing w:before="0" w:beforeAutospacing="0" w:after="120" w:afterAutospacing="0"/>
              <w:rPr>
                <w:b w:val="0"/>
              </w:rPr>
            </w:pPr>
          </w:p>
        </w:tc>
      </w:tr>
      <w:tr w:rsidR="00CF6F12" w:rsidTr="00604ED1">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CF6F12" w:rsidRPr="00DE116F" w:rsidRDefault="00CF6F12" w:rsidP="000337C3">
            <w:pPr>
              <w:pStyle w:val="NormalWeb"/>
              <w:spacing w:before="0" w:beforeAutospacing="0" w:after="120" w:afterAutospacing="0"/>
              <w:rPr>
                <w:lang w:val="en"/>
              </w:rPr>
            </w:pPr>
            <w:r w:rsidRPr="00DE116F">
              <w:rPr>
                <w:rStyle w:val="Strong"/>
                <w:lang w:val="en"/>
              </w:rPr>
              <w:t>Sections 2 and 3 (245A.02, subds. 2b and 2c)</w:t>
            </w:r>
            <w:r w:rsidRPr="00DE116F">
              <w:rPr>
                <w:lang w:val="en"/>
              </w:rPr>
              <w:t xml:space="preserve"> define the term “annual” for purposes of family child care training.</w:t>
            </w:r>
          </w:p>
        </w:tc>
        <w:tc>
          <w:tcPr>
            <w:tcW w:w="5760" w:type="dxa"/>
            <w:tcBorders>
              <w:top w:val="single" w:sz="4" w:space="0" w:color="auto"/>
              <w:left w:val="single" w:sz="4" w:space="0" w:color="auto"/>
              <w:bottom w:val="single" w:sz="4" w:space="0" w:color="auto"/>
              <w:right w:val="single" w:sz="4" w:space="0" w:color="auto"/>
            </w:tcBorders>
          </w:tcPr>
          <w:p w:rsidR="00CF6F12" w:rsidRDefault="00152E45" w:rsidP="000337C3">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F6F12" w:rsidRDefault="00A16634" w:rsidP="000337C3">
            <w:pPr>
              <w:pStyle w:val="Sectionnumber"/>
              <w:numPr>
                <w:ilvl w:val="0"/>
                <w:numId w:val="0"/>
              </w:numPr>
              <w:spacing w:before="0" w:beforeAutospacing="0" w:after="120" w:afterAutospacing="0"/>
              <w:rPr>
                <w:b w:val="0"/>
                <w:bCs/>
              </w:rPr>
            </w:pPr>
            <w:r>
              <w:rPr>
                <w:bCs/>
              </w:rPr>
              <w:t>Article 4, s</w:t>
            </w:r>
            <w:r w:rsidR="00152E45">
              <w:rPr>
                <w:bCs/>
              </w:rPr>
              <w:t xml:space="preserve">ec. 21. Annual or annually. </w:t>
            </w:r>
            <w:r w:rsidR="00152E45">
              <w:rPr>
                <w:b w:val="0"/>
                <w:bCs/>
              </w:rPr>
              <w:t>Amends § 245A.02, subd. 2b. Adds an exception.</w:t>
            </w:r>
          </w:p>
          <w:p w:rsidR="00152E45" w:rsidRDefault="00A16634" w:rsidP="00A16634">
            <w:pPr>
              <w:pStyle w:val="Sectionnumber"/>
              <w:numPr>
                <w:ilvl w:val="0"/>
                <w:numId w:val="0"/>
              </w:numPr>
              <w:spacing w:before="0" w:beforeAutospacing="0" w:after="120" w:afterAutospacing="0"/>
              <w:rPr>
                <w:b w:val="0"/>
              </w:rPr>
            </w:pPr>
            <w:r>
              <w:rPr>
                <w:bCs/>
              </w:rPr>
              <w:t>Article 4, s</w:t>
            </w:r>
            <w:r w:rsidR="00152E45">
              <w:rPr>
                <w:bCs/>
              </w:rPr>
              <w:t xml:space="preserve">ec. 22. Annual or annually; family child care training requirements. </w:t>
            </w:r>
            <w:r w:rsidR="00152E45">
              <w:rPr>
                <w:b w:val="0"/>
                <w:bCs/>
              </w:rPr>
              <w:t xml:space="preserve">Adds subd. 2c to § 245A.02. Specifies that “annual” or “annually” for the purposes of section </w:t>
            </w:r>
            <w:r w:rsidR="00152E45" w:rsidRPr="00A84146">
              <w:rPr>
                <w:b w:val="0"/>
                <w:bCs/>
              </w:rPr>
              <w:t>245A.50</w:t>
            </w:r>
            <w:r w:rsidR="00152E45">
              <w:rPr>
                <w:b w:val="0"/>
                <w:bCs/>
              </w:rPr>
              <w:t xml:space="preserve"> (family child care training requirements) means the 12 month period beginning on the license anniversary and ending the day prior to the anniversary.</w:t>
            </w:r>
          </w:p>
        </w:tc>
      </w:tr>
      <w:tr w:rsidR="0089039C" w:rsidTr="00604ED1">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89039C" w:rsidRPr="00DE116F" w:rsidRDefault="0089039C" w:rsidP="000337C3">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Cs/>
              </w:rPr>
            </w:pPr>
            <w:r>
              <w:rPr>
                <w:bCs/>
              </w:rPr>
              <w:t xml:space="preserve">Article 4, </w:t>
            </w:r>
            <w:r w:rsidR="005E1F10">
              <w:rPr>
                <w:bCs/>
              </w:rPr>
              <w:t>s</w:t>
            </w:r>
            <w:r>
              <w:rPr>
                <w:bCs/>
              </w:rPr>
              <w:t xml:space="preserve">ec. 23. </w:t>
            </w:r>
            <w:r w:rsidRPr="000A69E6">
              <w:rPr>
                <w:bCs/>
              </w:rPr>
              <w:t>Inspections; waiver</w:t>
            </w:r>
            <w:r>
              <w:rPr>
                <w:bCs/>
              </w:rPr>
              <w:t xml:space="preserve">. </w:t>
            </w:r>
            <w:r>
              <w:rPr>
                <w:b w:val="0"/>
                <w:bCs/>
              </w:rPr>
              <w:t>Amen</w:t>
            </w:r>
            <w:r w:rsidRPr="00D64988">
              <w:rPr>
                <w:b w:val="0"/>
                <w:bCs/>
              </w:rPr>
              <w:t xml:space="preserve">ds § </w:t>
            </w:r>
            <w:r w:rsidRPr="00D64988">
              <w:rPr>
                <w:b w:val="0"/>
                <w:lang w:val="en"/>
              </w:rPr>
              <w:t>245A.04, subd. 4. Requires a licensing agency to offer a child care license holder an exit interview to discuss violations observed during inspection and offer technical assistance to help the license holder comply, before completing a licensing inspection. Allows commissioner to issue a correction order or negative action for violations not discussed in an exit interview, or if the license holder does not participate in an exit interview.</w:t>
            </w:r>
            <w:r>
              <w:rPr>
                <w:b w:val="0"/>
                <w:lang w:val="en"/>
              </w:rPr>
              <w:t xml:space="preserve"> Makes section effective October 1, 2017.</w:t>
            </w:r>
          </w:p>
        </w:tc>
      </w:tr>
      <w:tr w:rsidR="00CF6F12"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CF6F12" w:rsidRPr="00DE116F" w:rsidRDefault="00CF6F12" w:rsidP="007D3503">
            <w:pPr>
              <w:pStyle w:val="NormalWeb"/>
              <w:spacing w:before="0" w:beforeAutospacing="0" w:after="120" w:afterAutospacing="0"/>
              <w:rPr>
                <w:lang w:val="en"/>
              </w:rPr>
            </w:pPr>
            <w:r w:rsidRPr="00DE116F">
              <w:rPr>
                <w:rStyle w:val="Strong"/>
                <w:lang w:val="en"/>
              </w:rPr>
              <w:t>Section 4 (245A.055)</w:t>
            </w:r>
            <w:r w:rsidR="007D3503">
              <w:rPr>
                <w:lang w:val="en"/>
              </w:rPr>
              <w:t xml:space="preserve"> establishes a new section of law requiring </w:t>
            </w:r>
            <w:r w:rsidRPr="00DE116F">
              <w:rPr>
                <w:lang w:val="en"/>
              </w:rPr>
              <w:t>the county employee conducting a</w:t>
            </w:r>
            <w:r w:rsidR="007D3503">
              <w:rPr>
                <w:lang w:val="en"/>
              </w:rPr>
              <w:t xml:space="preserve">n annual or biennial </w:t>
            </w:r>
            <w:r w:rsidRPr="00DE116F">
              <w:rPr>
                <w:lang w:val="en"/>
              </w:rPr>
              <w:t>licensing inspection or home visit at a family child care or group family child care home to provide written notification of potential licensing violations before departing.  The notification must include the condition that constitutes the violation.</w:t>
            </w:r>
          </w:p>
        </w:tc>
        <w:tc>
          <w:tcPr>
            <w:tcW w:w="5760" w:type="dxa"/>
            <w:tcBorders>
              <w:top w:val="single" w:sz="4" w:space="0" w:color="auto"/>
              <w:left w:val="single" w:sz="4" w:space="0" w:color="auto"/>
              <w:bottom w:val="single" w:sz="4" w:space="0" w:color="auto"/>
              <w:right w:val="single" w:sz="4" w:space="0" w:color="auto"/>
            </w:tcBorders>
          </w:tcPr>
          <w:p w:rsidR="00CF6F12" w:rsidRDefault="00152E45" w:rsidP="000337C3">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CF6F12" w:rsidRDefault="00CF6F12" w:rsidP="000337C3">
            <w:pPr>
              <w:pStyle w:val="Sectionnumber"/>
              <w:numPr>
                <w:ilvl w:val="0"/>
                <w:numId w:val="0"/>
              </w:numPr>
              <w:spacing w:before="0" w:beforeAutospacing="0" w:after="120" w:afterAutospacing="0"/>
              <w:rPr>
                <w:b w:val="0"/>
              </w:rPr>
            </w:pPr>
          </w:p>
        </w:tc>
      </w:tr>
      <w:tr w:rsidR="00CF6F12" w:rsidTr="009A19F5">
        <w:trPr>
          <w:cantSplit/>
          <w:jc w:val="center"/>
        </w:trPr>
        <w:tc>
          <w:tcPr>
            <w:tcW w:w="6210" w:type="dxa"/>
            <w:tcBorders>
              <w:top w:val="single" w:sz="4" w:space="0" w:color="auto"/>
              <w:left w:val="single" w:sz="4" w:space="0" w:color="auto"/>
              <w:bottom w:val="single" w:sz="4" w:space="0" w:color="auto"/>
              <w:right w:val="single" w:sz="4" w:space="0" w:color="auto"/>
            </w:tcBorders>
          </w:tcPr>
          <w:p w:rsidR="00CF6F12" w:rsidRPr="00DE116F" w:rsidRDefault="00CF6F12" w:rsidP="000337C3">
            <w:pPr>
              <w:pStyle w:val="NormalWeb"/>
              <w:spacing w:before="0" w:beforeAutospacing="0" w:after="120" w:afterAutospacing="0"/>
              <w:rPr>
                <w:lang w:val="en"/>
              </w:rPr>
            </w:pPr>
            <w:r w:rsidRPr="00DE116F">
              <w:rPr>
                <w:rStyle w:val="Strong"/>
                <w:lang w:val="en"/>
              </w:rPr>
              <w:lastRenderedPageBreak/>
              <w:t>Section 5 (245A.06, subd. 2)</w:t>
            </w:r>
            <w:r w:rsidRPr="00DE116F">
              <w:rPr>
                <w:lang w:val="en"/>
              </w:rPr>
              <w:t xml:space="preserve"> modifies the reconsideration process of DHS licensing correction orders for licensed family child care providers</w:t>
            </w:r>
            <w:r w:rsidR="007D3503">
              <w:rPr>
                <w:lang w:val="en"/>
              </w:rPr>
              <w:t>, to allow providers to expedite the review of the reconsideration process under certain circumstances</w:t>
            </w:r>
            <w:r w:rsidRPr="00DE116F">
              <w:rPr>
                <w:lang w:val="en"/>
              </w:rPr>
              <w:t>.  By January 1, 2018, and each year thereafter, the commissioner is required to report data to the Legislature on the number of licensed family child care providers who appealed correction orders, the number of correction order appeals that DHS granted, and the number denied.</w:t>
            </w:r>
          </w:p>
        </w:tc>
        <w:tc>
          <w:tcPr>
            <w:tcW w:w="5760" w:type="dxa"/>
            <w:tcBorders>
              <w:top w:val="single" w:sz="4" w:space="0" w:color="auto"/>
              <w:left w:val="single" w:sz="4" w:space="0" w:color="auto"/>
              <w:bottom w:val="single" w:sz="4" w:space="0" w:color="auto"/>
              <w:right w:val="single" w:sz="4" w:space="0" w:color="auto"/>
            </w:tcBorders>
          </w:tcPr>
          <w:p w:rsidR="00CF6F12" w:rsidRDefault="00152E45" w:rsidP="000337C3">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CF6F12" w:rsidRDefault="00CF6F12" w:rsidP="000337C3">
            <w:pPr>
              <w:pStyle w:val="Sectionnumber"/>
              <w:numPr>
                <w:ilvl w:val="0"/>
                <w:numId w:val="0"/>
              </w:numPr>
              <w:spacing w:before="0" w:beforeAutospacing="0" w:after="120" w:afterAutospacing="0"/>
              <w:rPr>
                <w:b w:val="0"/>
              </w:rPr>
            </w:pPr>
          </w:p>
        </w:tc>
      </w:tr>
      <w:tr w:rsidR="0089039C"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89039C" w:rsidRPr="00DE116F" w:rsidRDefault="0089039C" w:rsidP="000337C3">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 w:val="0"/>
              </w:rPr>
            </w:pPr>
            <w:r>
              <w:rPr>
                <w:bCs/>
              </w:rPr>
              <w:t xml:space="preserve">Article 4, </w:t>
            </w:r>
            <w:r w:rsidR="00C43393">
              <w:rPr>
                <w:bCs/>
              </w:rPr>
              <w:t>s</w:t>
            </w:r>
            <w:r>
              <w:rPr>
                <w:bCs/>
              </w:rPr>
              <w:t xml:space="preserve">ec. 24. Requirement to post correction order. </w:t>
            </w:r>
            <w:r>
              <w:rPr>
                <w:b w:val="0"/>
                <w:bCs/>
              </w:rPr>
              <w:t>Amends § 245A.06, subd.</w:t>
            </w:r>
            <w:r w:rsidRPr="00D9498E">
              <w:rPr>
                <w:b w:val="0"/>
                <w:bCs/>
              </w:rPr>
              <w:t xml:space="preserve"> 8</w:t>
            </w:r>
            <w:r>
              <w:rPr>
                <w:b w:val="0"/>
                <w:bCs/>
              </w:rPr>
              <w:t>. Requires the commissioner to issue an amended correction order and requires the license holder to post the amended order, if the commissioner reverses or rescinds a violation in a correction order upon reconsideration. Requires the license holder to remove the original posted correction order if the correction order is rescinded or reversed in full upon reconsideration.</w:t>
            </w:r>
          </w:p>
        </w:tc>
      </w:tr>
      <w:tr w:rsidR="0089039C"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89039C" w:rsidRPr="00DE116F" w:rsidRDefault="0089039C" w:rsidP="000337C3">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9039C" w:rsidRDefault="00C43393" w:rsidP="000337C3">
            <w:pPr>
              <w:pStyle w:val="Sectionnumber"/>
              <w:numPr>
                <w:ilvl w:val="0"/>
                <w:numId w:val="0"/>
              </w:numPr>
              <w:spacing w:before="0" w:beforeAutospacing="0" w:after="120" w:afterAutospacing="0"/>
              <w:rPr>
                <w:b w:val="0"/>
              </w:rPr>
            </w:pPr>
            <w:r>
              <w:rPr>
                <w:bCs/>
              </w:rPr>
              <w:t>Article 4, s</w:t>
            </w:r>
            <w:r w:rsidR="0089039C">
              <w:rPr>
                <w:bCs/>
              </w:rPr>
              <w:t xml:space="preserve">ec. 25. </w:t>
            </w:r>
            <w:r w:rsidR="0089039C" w:rsidRPr="0061120F">
              <w:rPr>
                <w:bCs/>
              </w:rPr>
              <w:t>Child care correction order quotas prohibited</w:t>
            </w:r>
            <w:r w:rsidR="0089039C">
              <w:rPr>
                <w:bCs/>
              </w:rPr>
              <w:t xml:space="preserve">. </w:t>
            </w:r>
            <w:r w:rsidR="0089039C">
              <w:rPr>
                <w:b w:val="0"/>
                <w:bCs/>
              </w:rPr>
              <w:t xml:space="preserve">Adds subd. 9 to § </w:t>
            </w:r>
            <w:r w:rsidR="0089039C" w:rsidRPr="0061120F">
              <w:rPr>
                <w:b w:val="0"/>
                <w:bCs/>
              </w:rPr>
              <w:t>245A.06</w:t>
            </w:r>
            <w:r w:rsidR="0089039C">
              <w:rPr>
                <w:b w:val="0"/>
                <w:bCs/>
              </w:rPr>
              <w:t>. Prohibits the commissioner and county licensing agencies from mandating or suggesting quotas for issuing correction orders to any person responsible for licensing or inspecting child care centers or family child care providers.</w:t>
            </w:r>
          </w:p>
        </w:tc>
      </w:tr>
      <w:tr w:rsidR="0089039C"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89039C" w:rsidRPr="00DE116F" w:rsidRDefault="0089039C" w:rsidP="000337C3">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9039C" w:rsidRDefault="00C43393" w:rsidP="0089039C">
            <w:pPr>
              <w:rPr>
                <w:bCs/>
              </w:rPr>
            </w:pPr>
            <w:r>
              <w:rPr>
                <w:b/>
                <w:bCs/>
              </w:rPr>
              <w:t>Article 4, s</w:t>
            </w:r>
            <w:r w:rsidR="0089039C">
              <w:rPr>
                <w:b/>
                <w:bCs/>
              </w:rPr>
              <w:t>ec. 26. C</w:t>
            </w:r>
            <w:r w:rsidR="0089039C" w:rsidRPr="000A69E6">
              <w:rPr>
                <w:b/>
                <w:bCs/>
              </w:rPr>
              <w:t>hild care fix-it ticket.</w:t>
            </w:r>
            <w:r w:rsidR="0089039C">
              <w:rPr>
                <w:bCs/>
              </w:rPr>
              <w:t xml:space="preserve"> Proposes coding for </w:t>
            </w:r>
            <w:r w:rsidR="0089039C" w:rsidRPr="000A69E6">
              <w:rPr>
                <w:bCs/>
              </w:rPr>
              <w:t xml:space="preserve">§ </w:t>
            </w:r>
            <w:r w:rsidR="0089039C">
              <w:rPr>
                <w:bCs/>
              </w:rPr>
              <w:t>245A.065. (a) Requires the commissioner to issue a “fix-it ticket” to a child care license holder if:</w:t>
            </w:r>
          </w:p>
          <w:p w:rsidR="0089039C" w:rsidRDefault="0089039C" w:rsidP="0089039C">
            <w:pPr>
              <w:pStyle w:val="ListParagraph"/>
              <w:numPr>
                <w:ilvl w:val="0"/>
                <w:numId w:val="2"/>
              </w:numPr>
              <w:ind w:left="657" w:hanging="387"/>
              <w:contextualSpacing w:val="0"/>
              <w:rPr>
                <w:bCs/>
              </w:rPr>
            </w:pPr>
            <w:r>
              <w:rPr>
                <w:bCs/>
              </w:rPr>
              <w:t>the license holder failed to comply with statute or rule that is eligible for a fix-it ticket;</w:t>
            </w:r>
          </w:p>
          <w:p w:rsidR="0089039C" w:rsidRDefault="0089039C" w:rsidP="0089039C">
            <w:pPr>
              <w:pStyle w:val="ListParagraph"/>
              <w:numPr>
                <w:ilvl w:val="0"/>
                <w:numId w:val="2"/>
              </w:numPr>
              <w:ind w:left="657" w:hanging="387"/>
              <w:contextualSpacing w:val="0"/>
              <w:rPr>
                <w:bCs/>
              </w:rPr>
            </w:pPr>
            <w:r>
              <w:rPr>
                <w:bCs/>
              </w:rPr>
              <w:lastRenderedPageBreak/>
              <w:t>the violation does not imminently endanger the health, safety, or welfare of anyone the program serves;</w:t>
            </w:r>
          </w:p>
          <w:p w:rsidR="0089039C" w:rsidRDefault="0089039C" w:rsidP="0089039C">
            <w:pPr>
              <w:pStyle w:val="ListParagraph"/>
              <w:numPr>
                <w:ilvl w:val="0"/>
                <w:numId w:val="2"/>
              </w:numPr>
              <w:ind w:left="657" w:hanging="387"/>
              <w:contextualSpacing w:val="0"/>
              <w:rPr>
                <w:bCs/>
              </w:rPr>
            </w:pPr>
            <w:r>
              <w:rPr>
                <w:bCs/>
              </w:rPr>
              <w:t>the license holder did not receive a fix-it ticket or correction order for the same violation at the previous inspection;</w:t>
            </w:r>
          </w:p>
          <w:p w:rsidR="0089039C" w:rsidRDefault="0089039C" w:rsidP="0089039C">
            <w:pPr>
              <w:pStyle w:val="ListParagraph"/>
              <w:numPr>
                <w:ilvl w:val="0"/>
                <w:numId w:val="2"/>
              </w:numPr>
              <w:ind w:left="657" w:hanging="387"/>
              <w:contextualSpacing w:val="0"/>
              <w:rPr>
                <w:bCs/>
              </w:rPr>
            </w:pPr>
            <w:r>
              <w:rPr>
                <w:bCs/>
              </w:rPr>
              <w:t>the violation can be corrected at the time of inspection or within 48 hours; and</w:t>
            </w:r>
          </w:p>
          <w:p w:rsidR="0089039C" w:rsidRPr="00D64988" w:rsidRDefault="0089039C" w:rsidP="0089039C">
            <w:pPr>
              <w:pStyle w:val="ListParagraph"/>
              <w:numPr>
                <w:ilvl w:val="0"/>
                <w:numId w:val="2"/>
              </w:numPr>
              <w:ind w:left="657" w:hanging="387"/>
              <w:contextualSpacing w:val="0"/>
              <w:rPr>
                <w:bCs/>
              </w:rPr>
            </w:pPr>
            <w:r>
              <w:rPr>
                <w:bCs/>
              </w:rPr>
              <w:t>the license holder in fact corrects the violation at the time of inspection, or agrees to correct the violation within 48 hours.</w:t>
            </w:r>
          </w:p>
          <w:p w:rsidR="0089039C" w:rsidRDefault="0089039C" w:rsidP="0089039C">
            <w:pPr>
              <w:rPr>
                <w:bCs/>
              </w:rPr>
            </w:pPr>
            <w:r>
              <w:rPr>
                <w:bCs/>
              </w:rPr>
              <w:t>(b) Specifies that the fix-it ticket must state:</w:t>
            </w:r>
          </w:p>
          <w:p w:rsidR="0089039C" w:rsidRDefault="0089039C" w:rsidP="0089039C">
            <w:pPr>
              <w:pStyle w:val="ListParagraph"/>
              <w:numPr>
                <w:ilvl w:val="0"/>
                <w:numId w:val="3"/>
              </w:numPr>
              <w:ind w:left="657"/>
              <w:contextualSpacing w:val="0"/>
              <w:rPr>
                <w:bCs/>
              </w:rPr>
            </w:pPr>
            <w:r>
              <w:rPr>
                <w:bCs/>
              </w:rPr>
              <w:t>the conditions that led to violation;</w:t>
            </w:r>
          </w:p>
          <w:p w:rsidR="0089039C" w:rsidRDefault="0089039C" w:rsidP="0089039C">
            <w:pPr>
              <w:pStyle w:val="ListParagraph"/>
              <w:numPr>
                <w:ilvl w:val="0"/>
                <w:numId w:val="3"/>
              </w:numPr>
              <w:ind w:left="657"/>
              <w:contextualSpacing w:val="0"/>
              <w:rPr>
                <w:bCs/>
              </w:rPr>
            </w:pPr>
            <w:r>
              <w:rPr>
                <w:bCs/>
              </w:rPr>
              <w:t>the specific law or rule violated; and</w:t>
            </w:r>
          </w:p>
          <w:p w:rsidR="0089039C" w:rsidRPr="00D64988" w:rsidRDefault="0089039C" w:rsidP="0089039C">
            <w:pPr>
              <w:pStyle w:val="ListParagraph"/>
              <w:numPr>
                <w:ilvl w:val="0"/>
                <w:numId w:val="3"/>
              </w:numPr>
              <w:ind w:left="657"/>
              <w:contextualSpacing w:val="0"/>
              <w:rPr>
                <w:bCs/>
              </w:rPr>
            </w:pPr>
            <w:r>
              <w:rPr>
                <w:bCs/>
              </w:rPr>
              <w:t>that the violation was corrected, or will be corrected within 48 hours.</w:t>
            </w:r>
          </w:p>
          <w:p w:rsidR="0089039C" w:rsidRDefault="0089039C" w:rsidP="0089039C">
            <w:pPr>
              <w:rPr>
                <w:bCs/>
              </w:rPr>
            </w:pPr>
            <w:r>
              <w:rPr>
                <w:bCs/>
              </w:rPr>
              <w:t>(c) States that a fix-it ticket will not be available on a public Web site.</w:t>
            </w:r>
          </w:p>
          <w:p w:rsidR="0089039C" w:rsidRDefault="0089039C" w:rsidP="0089039C">
            <w:pPr>
              <w:rPr>
                <w:bCs/>
              </w:rPr>
            </w:pPr>
            <w:r>
              <w:rPr>
                <w:bCs/>
              </w:rPr>
              <w:t>(d) Requires the child care license holder to correct the violation within 48 hours of receiving the ticket, and to submit evidence to the county licensing agency showing the correction.</w:t>
            </w:r>
          </w:p>
          <w:p w:rsidR="0089039C" w:rsidRDefault="0089039C" w:rsidP="0089039C">
            <w:pPr>
              <w:rPr>
                <w:bCs/>
              </w:rPr>
            </w:pPr>
            <w:r>
              <w:rPr>
                <w:bCs/>
              </w:rPr>
              <w:t>(e) Allows commissioner to issue a correction order if the violation on the fix-it ticket is not corrected at the time of inspection or within 48 hours, or if the evidence the license holder submits is not sufficient to establish that the violation has been corrected.</w:t>
            </w:r>
          </w:p>
          <w:p w:rsidR="0089039C" w:rsidRDefault="0089039C" w:rsidP="0089039C">
            <w:pPr>
              <w:rPr>
                <w:bCs/>
              </w:rPr>
            </w:pPr>
            <w:r>
              <w:rPr>
                <w:bCs/>
              </w:rPr>
              <w:t xml:space="preserve">(f) Requires commissioner to issue a report by October 1, 2017, identifying violations of statute and rule that are eligible for a fix-it ticket, and to provide the report to county agencies and legislative committees, and post the report online. </w:t>
            </w:r>
          </w:p>
          <w:p w:rsidR="0089039C" w:rsidRDefault="0089039C" w:rsidP="0089039C">
            <w:pPr>
              <w:pStyle w:val="Sectionnumber"/>
              <w:numPr>
                <w:ilvl w:val="0"/>
                <w:numId w:val="0"/>
              </w:numPr>
              <w:spacing w:before="0" w:beforeAutospacing="0" w:after="120" w:afterAutospacing="0"/>
              <w:rPr>
                <w:bCs/>
              </w:rPr>
            </w:pPr>
            <w:r>
              <w:rPr>
                <w:b w:val="0"/>
                <w:bCs/>
              </w:rPr>
              <w:t>Makes the section effective October 1, 2017.</w:t>
            </w:r>
          </w:p>
        </w:tc>
      </w:tr>
      <w:tr w:rsidR="00CF6F12"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CF6F12" w:rsidRPr="00DE116F" w:rsidRDefault="00CF6F12" w:rsidP="000337C3">
            <w:pPr>
              <w:pStyle w:val="NormalWeb"/>
              <w:spacing w:before="0" w:beforeAutospacing="0" w:after="120" w:afterAutospacing="0"/>
              <w:rPr>
                <w:lang w:val="en"/>
              </w:rPr>
            </w:pPr>
            <w:r w:rsidRPr="00DE116F">
              <w:rPr>
                <w:rStyle w:val="Strong"/>
                <w:lang w:val="en"/>
              </w:rPr>
              <w:lastRenderedPageBreak/>
              <w:t>Section 6 (245A.07, subd. 3)</w:t>
            </w:r>
            <w:r w:rsidRPr="00DE116F">
              <w:rPr>
                <w:lang w:val="en"/>
              </w:rPr>
              <w:t xml:space="preserve"> amends the DHS licensing act by imposing a </w:t>
            </w:r>
            <w:r w:rsidR="007D3503">
              <w:rPr>
                <w:lang w:val="en"/>
              </w:rPr>
              <w:t xml:space="preserve">$5,000 </w:t>
            </w:r>
            <w:r w:rsidRPr="00DE116F">
              <w:rPr>
                <w:lang w:val="en"/>
              </w:rPr>
              <w:t xml:space="preserve">fine on a license holder following the determination of </w:t>
            </w:r>
            <w:r w:rsidR="007D3503">
              <w:rPr>
                <w:lang w:val="en"/>
              </w:rPr>
              <w:t xml:space="preserve">serious </w:t>
            </w:r>
            <w:r w:rsidRPr="00DE116F">
              <w:rPr>
                <w:lang w:val="en"/>
              </w:rPr>
              <w:t>maltreatment.</w:t>
            </w:r>
          </w:p>
        </w:tc>
        <w:tc>
          <w:tcPr>
            <w:tcW w:w="5760" w:type="dxa"/>
            <w:tcBorders>
              <w:top w:val="single" w:sz="4" w:space="0" w:color="auto"/>
              <w:left w:val="single" w:sz="4" w:space="0" w:color="auto"/>
              <w:bottom w:val="single" w:sz="4" w:space="0" w:color="auto"/>
              <w:right w:val="single" w:sz="4" w:space="0" w:color="auto"/>
            </w:tcBorders>
          </w:tcPr>
          <w:p w:rsidR="00CF6F12" w:rsidRDefault="00152E45" w:rsidP="000337C3">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CF6F12" w:rsidRDefault="00CF6F12" w:rsidP="000337C3">
            <w:pPr>
              <w:pStyle w:val="Sectionnumber"/>
              <w:numPr>
                <w:ilvl w:val="0"/>
                <w:numId w:val="0"/>
              </w:numPr>
              <w:spacing w:before="0" w:beforeAutospacing="0" w:after="120" w:afterAutospacing="0"/>
              <w:rPr>
                <w:b w:val="0"/>
              </w:rPr>
            </w:pPr>
          </w:p>
        </w:tc>
      </w:tr>
      <w:tr w:rsidR="00152E45"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152E45" w:rsidRPr="00DE116F" w:rsidRDefault="00152E45" w:rsidP="000337C3">
            <w:pPr>
              <w:pStyle w:val="NormalWeb"/>
              <w:spacing w:before="0" w:beforeAutospacing="0" w:after="120" w:afterAutospacing="0"/>
              <w:rPr>
                <w:lang w:val="en"/>
              </w:rPr>
            </w:pPr>
            <w:r w:rsidRPr="00DE116F">
              <w:rPr>
                <w:rStyle w:val="Strong"/>
                <w:lang w:val="en"/>
              </w:rPr>
              <w:t>Section 7 (245A.1434)</w:t>
            </w:r>
            <w:r w:rsidRPr="00DE116F">
              <w:rPr>
                <w:lang w:val="en"/>
              </w:rPr>
              <w:t xml:space="preserve"> requires the commissioner to inform family child care and child care center license holders on a timely basis, of changes in statute, rule, federal law, regulation, and policy relating to the provision of child care, child care assistance, quality rating and improvement system, and licensing functions.  Communication shall be by electronic means and made available to the public online.</w:t>
            </w:r>
          </w:p>
        </w:tc>
        <w:tc>
          <w:tcPr>
            <w:tcW w:w="5760" w:type="dxa"/>
            <w:tcBorders>
              <w:top w:val="single" w:sz="4" w:space="0" w:color="auto"/>
              <w:left w:val="single" w:sz="4" w:space="0" w:color="auto"/>
              <w:bottom w:val="single" w:sz="4" w:space="0" w:color="auto"/>
              <w:right w:val="single" w:sz="4" w:space="0" w:color="auto"/>
            </w:tcBorders>
          </w:tcPr>
          <w:p w:rsidR="00152E45" w:rsidRDefault="00152E45" w:rsidP="000337C3">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52E45" w:rsidRDefault="00596443" w:rsidP="00596443">
            <w:pPr>
              <w:pStyle w:val="Sectionnumber"/>
              <w:numPr>
                <w:ilvl w:val="0"/>
                <w:numId w:val="0"/>
              </w:numPr>
              <w:spacing w:before="0" w:beforeAutospacing="0" w:after="120" w:afterAutospacing="0"/>
              <w:rPr>
                <w:b w:val="0"/>
              </w:rPr>
            </w:pPr>
            <w:r>
              <w:rPr>
                <w:bCs/>
              </w:rPr>
              <w:t>Article 4, s</w:t>
            </w:r>
            <w:r w:rsidR="00152E45">
              <w:rPr>
                <w:bCs/>
              </w:rPr>
              <w:t>ec. 27. Information for child care license holders.</w:t>
            </w:r>
            <w:r w:rsidR="00152E45" w:rsidRPr="003B16DE">
              <w:rPr>
                <w:b w:val="0"/>
                <w:bCs/>
              </w:rPr>
              <w:t xml:space="preserve"> </w:t>
            </w:r>
            <w:r w:rsidR="00152E45">
              <w:rPr>
                <w:b w:val="0"/>
                <w:bCs/>
              </w:rPr>
              <w:t>Proposes coding for § 245A.1434. Adds the commissioner’s duty to timely inform family child care and child care center license holders of changes in federal and state statute, rule, regulation, or policy, relating to child care, child care assistance, child care quality rating and improvement, and licensing functions, in order to promote license holder compliance with changes. Allows notice via electronic means, requires the commissioner to make the notice available to the public online.</w:t>
            </w:r>
          </w:p>
        </w:tc>
      </w:tr>
      <w:tr w:rsidR="0089039C"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89039C" w:rsidRPr="00DE116F" w:rsidRDefault="0089039C" w:rsidP="000337C3">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rsidR="0089039C" w:rsidRDefault="0089039C" w:rsidP="000337C3">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9039C" w:rsidRDefault="0089039C" w:rsidP="0089039C">
            <w:pPr>
              <w:pStyle w:val="Sectionnumber"/>
              <w:numPr>
                <w:ilvl w:val="0"/>
                <w:numId w:val="0"/>
              </w:numPr>
              <w:spacing w:before="0" w:beforeAutospacing="0" w:after="120" w:afterAutospacing="0"/>
              <w:rPr>
                <w:b w:val="0"/>
                <w:bCs/>
              </w:rPr>
            </w:pPr>
            <w:r>
              <w:rPr>
                <w:bCs/>
              </w:rPr>
              <w:t xml:space="preserve">Article 4, Sec. 28. Report to legislature on the status of child care. </w:t>
            </w:r>
            <w:r>
              <w:rPr>
                <w:b w:val="0"/>
                <w:bCs/>
              </w:rPr>
              <w:t xml:space="preserve">Proposes coding for § 245A.153. </w:t>
            </w:r>
          </w:p>
          <w:p w:rsidR="0089039C" w:rsidRDefault="0089039C" w:rsidP="0089039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sidRPr="006B1341">
              <w:rPr>
                <w:bCs/>
              </w:rPr>
              <w:t>Subd. 1.</w:t>
            </w:r>
            <w:r>
              <w:rPr>
                <w:b w:val="0"/>
                <w:bCs/>
              </w:rPr>
              <w:t xml:space="preserve"> </w:t>
            </w:r>
            <w:r>
              <w:rPr>
                <w:bCs/>
              </w:rPr>
              <w:t>Reporting requirements.</w:t>
            </w:r>
            <w:r>
              <w:rPr>
                <w:b w:val="0"/>
                <w:bCs/>
              </w:rPr>
              <w:t xml:space="preserve"> Requires the commissioner of human services to provide a report on the status of child care in Minnesota to the chairs and ranking minority members of committees with jurisdiction over child care, by February 1, 2018, and February 1 thereafter.</w:t>
            </w:r>
          </w:p>
          <w:p w:rsidR="0089039C" w:rsidRPr="006B1341" w:rsidRDefault="0089039C" w:rsidP="0089039C">
            <w:pPr>
              <w:pStyle w:val="Sectionnumber"/>
              <w:numPr>
                <w:ilvl w:val="0"/>
                <w:numId w:val="0"/>
              </w:numPr>
              <w:tabs>
                <w:tab w:val="left" w:pos="965"/>
              </w:tabs>
              <w:spacing w:before="0" w:beforeAutospacing="0" w:after="120" w:afterAutospacing="0"/>
              <w:ind w:left="605" w:hanging="14"/>
              <w:rPr>
                <w:b w:val="0"/>
                <w:bCs/>
              </w:rPr>
            </w:pPr>
            <w:r>
              <w:rPr>
                <w:b w:val="0"/>
              </w:rPr>
              <w:t xml:space="preserve">   </w:t>
            </w:r>
            <w:r>
              <w:t>Subd</w:t>
            </w:r>
            <w:r w:rsidRPr="006B1341">
              <w:t>. 2.</w:t>
            </w:r>
            <w:r w:rsidRPr="006B1341">
              <w:rPr>
                <w:b w:val="0"/>
              </w:rPr>
              <w:t xml:space="preserve"> </w:t>
            </w:r>
            <w:r>
              <w:t>Contents of report.</w:t>
            </w:r>
            <w:r>
              <w:rPr>
                <w:b w:val="0"/>
              </w:rPr>
              <w:t xml:space="preserve"> Requires that the child care report include the following:</w:t>
            </w:r>
          </w:p>
          <w:p w:rsidR="0089039C" w:rsidRDefault="0089039C" w:rsidP="0089039C">
            <w:pPr>
              <w:pStyle w:val="Sectionnumber"/>
              <w:numPr>
                <w:ilvl w:val="0"/>
                <w:numId w:val="4"/>
              </w:numPr>
              <w:spacing w:before="0" w:beforeAutospacing="0" w:after="120" w:afterAutospacing="0"/>
              <w:ind w:left="1017"/>
              <w:rPr>
                <w:b w:val="0"/>
              </w:rPr>
            </w:pPr>
            <w:r>
              <w:rPr>
                <w:b w:val="0"/>
              </w:rPr>
              <w:t>summary data on trends in child care capacity and availability;</w:t>
            </w:r>
          </w:p>
          <w:p w:rsidR="0089039C" w:rsidRDefault="0089039C" w:rsidP="0089039C">
            <w:pPr>
              <w:pStyle w:val="Sectionnumber"/>
              <w:numPr>
                <w:ilvl w:val="0"/>
                <w:numId w:val="4"/>
              </w:numPr>
              <w:spacing w:before="0" w:beforeAutospacing="0" w:after="120" w:afterAutospacing="0"/>
              <w:ind w:left="1017"/>
              <w:rPr>
                <w:b w:val="0"/>
              </w:rPr>
            </w:pPr>
            <w:r>
              <w:rPr>
                <w:b w:val="0"/>
              </w:rPr>
              <w:t>description of any changes to statutes, rules, or policies and procedures;</w:t>
            </w:r>
          </w:p>
          <w:p w:rsidR="0089039C" w:rsidRDefault="0089039C" w:rsidP="0089039C">
            <w:pPr>
              <w:pStyle w:val="Sectionnumber"/>
              <w:numPr>
                <w:ilvl w:val="0"/>
                <w:numId w:val="4"/>
              </w:numPr>
              <w:spacing w:before="0" w:beforeAutospacing="0" w:after="120" w:afterAutospacing="0"/>
              <w:ind w:left="1017"/>
              <w:rPr>
                <w:b w:val="0"/>
              </w:rPr>
            </w:pPr>
            <w:r>
              <w:rPr>
                <w:b w:val="0"/>
              </w:rPr>
              <w:t>description of actions DHS has taken to address or implement the recommendations of the Legislative Task Force on Access to Affordable Child Care, including:</w:t>
            </w:r>
          </w:p>
          <w:p w:rsidR="0089039C" w:rsidRDefault="0089039C" w:rsidP="0089039C">
            <w:pPr>
              <w:pStyle w:val="Sectionnumber"/>
              <w:numPr>
                <w:ilvl w:val="0"/>
                <w:numId w:val="5"/>
              </w:numPr>
              <w:spacing w:before="0" w:beforeAutospacing="0" w:after="120" w:afterAutospacing="0"/>
              <w:ind w:left="1377" w:hanging="450"/>
              <w:rPr>
                <w:b w:val="0"/>
              </w:rPr>
            </w:pPr>
            <w:r>
              <w:rPr>
                <w:b w:val="0"/>
              </w:rPr>
              <w:t>encouraging uniformity in implementing and interpreting statutes, rules, policies, and procedures relating to child care licensing;</w:t>
            </w:r>
          </w:p>
          <w:p w:rsidR="0089039C" w:rsidRDefault="0089039C" w:rsidP="0089039C">
            <w:pPr>
              <w:pStyle w:val="Sectionnumber"/>
              <w:numPr>
                <w:ilvl w:val="0"/>
                <w:numId w:val="5"/>
              </w:numPr>
              <w:spacing w:before="0" w:beforeAutospacing="0" w:after="120" w:afterAutospacing="0"/>
              <w:ind w:left="1377" w:hanging="450"/>
              <w:rPr>
                <w:b w:val="0"/>
              </w:rPr>
            </w:pPr>
            <w:r>
              <w:rPr>
                <w:b w:val="0"/>
              </w:rPr>
              <w:t>improving communication with county licensors and child care providers;</w:t>
            </w:r>
          </w:p>
          <w:p w:rsidR="0089039C" w:rsidRDefault="0089039C" w:rsidP="0089039C">
            <w:pPr>
              <w:pStyle w:val="Sectionnumber"/>
              <w:numPr>
                <w:ilvl w:val="0"/>
                <w:numId w:val="5"/>
              </w:numPr>
              <w:spacing w:before="0" w:beforeAutospacing="0" w:after="120" w:afterAutospacing="0"/>
              <w:ind w:left="1377" w:hanging="450"/>
              <w:rPr>
                <w:b w:val="0"/>
              </w:rPr>
            </w:pPr>
            <w:r>
              <w:rPr>
                <w:b w:val="0"/>
              </w:rPr>
              <w:t>providing notice to child care providers before issuing correction orders or negative licensing actions relating to recently changed statutes, rules, or policies;</w:t>
            </w:r>
          </w:p>
          <w:p w:rsidR="0089039C" w:rsidRDefault="0089039C" w:rsidP="0089039C">
            <w:pPr>
              <w:pStyle w:val="Sectionnumber"/>
              <w:numPr>
                <w:ilvl w:val="0"/>
                <w:numId w:val="5"/>
              </w:numPr>
              <w:spacing w:before="0" w:beforeAutospacing="0" w:after="120" w:afterAutospacing="0"/>
              <w:ind w:left="1377" w:hanging="450"/>
              <w:rPr>
                <w:b w:val="0"/>
              </w:rPr>
            </w:pPr>
            <w:r>
              <w:rPr>
                <w:b w:val="0"/>
              </w:rPr>
              <w:t>implementing confidential communication processes for provider questions;</w:t>
            </w:r>
          </w:p>
          <w:p w:rsidR="0089039C" w:rsidRDefault="0089039C" w:rsidP="0089039C">
            <w:pPr>
              <w:pStyle w:val="Sectionnumber"/>
              <w:numPr>
                <w:ilvl w:val="0"/>
                <w:numId w:val="5"/>
              </w:numPr>
              <w:spacing w:before="0" w:beforeAutospacing="0" w:after="120" w:afterAutospacing="0"/>
              <w:ind w:left="1377" w:hanging="450"/>
              <w:rPr>
                <w:b w:val="0"/>
              </w:rPr>
            </w:pPr>
            <w:r>
              <w:rPr>
                <w:b w:val="0"/>
              </w:rPr>
              <w:t xml:space="preserve">streamlining processes to reduce duplication and training and paperwork requirement overlap; and </w:t>
            </w:r>
          </w:p>
          <w:p w:rsidR="0089039C" w:rsidRDefault="0089039C" w:rsidP="0089039C">
            <w:pPr>
              <w:pStyle w:val="Sectionnumber"/>
              <w:numPr>
                <w:ilvl w:val="0"/>
                <w:numId w:val="5"/>
              </w:numPr>
              <w:spacing w:before="0" w:beforeAutospacing="0" w:after="120" w:afterAutospacing="0"/>
              <w:ind w:left="1377" w:hanging="450"/>
              <w:rPr>
                <w:b w:val="0"/>
              </w:rPr>
            </w:pPr>
            <w:r>
              <w:rPr>
                <w:b w:val="0"/>
              </w:rPr>
              <w:t>compiling and distributing information detail trends in violations resulting in correction orders and negative licensing actions;</w:t>
            </w:r>
          </w:p>
          <w:p w:rsidR="0089039C" w:rsidRDefault="0089039C" w:rsidP="0089039C">
            <w:pPr>
              <w:pStyle w:val="Sectionnumber"/>
              <w:numPr>
                <w:ilvl w:val="0"/>
                <w:numId w:val="4"/>
              </w:numPr>
              <w:spacing w:before="0" w:beforeAutospacing="0" w:after="120" w:afterAutospacing="0"/>
              <w:ind w:left="927"/>
              <w:rPr>
                <w:b w:val="0"/>
              </w:rPr>
            </w:pPr>
            <w:r>
              <w:rPr>
                <w:b w:val="0"/>
              </w:rPr>
              <w:t>description of DHS efforts to cooperate with counties;</w:t>
            </w:r>
          </w:p>
          <w:p w:rsidR="0089039C" w:rsidRDefault="0089039C" w:rsidP="0089039C">
            <w:pPr>
              <w:pStyle w:val="Sectionnumber"/>
              <w:numPr>
                <w:ilvl w:val="0"/>
                <w:numId w:val="4"/>
              </w:numPr>
              <w:spacing w:before="0" w:beforeAutospacing="0" w:after="120" w:afterAutospacing="0"/>
              <w:ind w:left="927"/>
              <w:rPr>
                <w:b w:val="0"/>
              </w:rPr>
            </w:pPr>
            <w:r>
              <w:rPr>
                <w:b w:val="0"/>
              </w:rPr>
              <w:t>summary data on CCAP, including state funding and number of families served</w:t>
            </w:r>
          </w:p>
          <w:p w:rsidR="0089039C" w:rsidRDefault="0089039C" w:rsidP="0089039C">
            <w:pPr>
              <w:pStyle w:val="Sectionnumber"/>
              <w:numPr>
                <w:ilvl w:val="0"/>
                <w:numId w:val="4"/>
              </w:numPr>
              <w:spacing w:before="0" w:beforeAutospacing="0" w:after="120" w:afterAutospacing="0"/>
              <w:ind w:left="927"/>
              <w:rPr>
                <w:b w:val="0"/>
              </w:rPr>
            </w:pPr>
            <w:r>
              <w:rPr>
                <w:b w:val="0"/>
              </w:rPr>
              <w:t>summary data on family child care correction orders.</w:t>
            </w:r>
          </w:p>
          <w:p w:rsidR="0089039C" w:rsidRDefault="0089039C" w:rsidP="0089039C">
            <w:pPr>
              <w:pStyle w:val="Sectionnumber"/>
              <w:numPr>
                <w:ilvl w:val="0"/>
                <w:numId w:val="0"/>
              </w:numPr>
              <w:spacing w:before="0" w:beforeAutospacing="0" w:after="120" w:afterAutospacing="0"/>
              <w:rPr>
                <w:bCs/>
              </w:rPr>
            </w:pPr>
            <w:r>
              <w:rPr>
                <w:bCs/>
              </w:rPr>
              <w:t xml:space="preserve">   </w:t>
            </w:r>
            <w:r w:rsidRPr="00F43F25">
              <w:rPr>
                <w:bCs/>
              </w:rPr>
              <w:t>Subd. 3. Sunset.</w:t>
            </w:r>
            <w:r w:rsidRPr="00F43F25">
              <w:rPr>
                <w:b w:val="0"/>
                <w:bCs/>
              </w:rPr>
              <w:t xml:space="preserve"> Section expires February 2, 2020.</w:t>
            </w:r>
          </w:p>
        </w:tc>
      </w:tr>
      <w:tr w:rsidR="00152E45" w:rsidTr="00604ED1">
        <w:trPr>
          <w:jc w:val="center"/>
        </w:trPr>
        <w:tc>
          <w:tcPr>
            <w:tcW w:w="6210" w:type="dxa"/>
            <w:tcBorders>
              <w:top w:val="single" w:sz="4" w:space="0" w:color="auto"/>
              <w:left w:val="single" w:sz="4" w:space="0" w:color="auto"/>
              <w:bottom w:val="single" w:sz="4" w:space="0" w:color="auto"/>
              <w:right w:val="single" w:sz="4" w:space="0" w:color="auto"/>
            </w:tcBorders>
          </w:tcPr>
          <w:p w:rsidR="00152E45" w:rsidRPr="005A0889" w:rsidRDefault="00152E45" w:rsidP="000337C3">
            <w:pPr>
              <w:pStyle w:val="NormalWeb"/>
              <w:spacing w:before="0" w:beforeAutospacing="0" w:after="120" w:afterAutospacing="0"/>
              <w:rPr>
                <w:lang w:val="en"/>
              </w:rPr>
            </w:pPr>
            <w:r>
              <w:rPr>
                <w:rStyle w:val="Strong"/>
                <w:lang w:val="en"/>
              </w:rPr>
              <w:t>Section 8 (626.556, subd. 3c)</w:t>
            </w:r>
            <w:r>
              <w:rPr>
                <w:lang w:val="en"/>
              </w:rPr>
              <w:t xml:space="preserve"> requires that investigations of maltreatment occurring in children’s residential facilities licensed by the Commissioner of Corrections be conducted by the Department of Human Services Licensing Division.</w:t>
            </w:r>
          </w:p>
        </w:tc>
        <w:tc>
          <w:tcPr>
            <w:tcW w:w="5760" w:type="dxa"/>
            <w:tcBorders>
              <w:top w:val="single" w:sz="4" w:space="0" w:color="auto"/>
              <w:left w:val="single" w:sz="4" w:space="0" w:color="auto"/>
              <w:bottom w:val="single" w:sz="4" w:space="0" w:color="auto"/>
              <w:right w:val="single" w:sz="4" w:space="0" w:color="auto"/>
            </w:tcBorders>
          </w:tcPr>
          <w:p w:rsidR="00152E45" w:rsidRDefault="00152E45" w:rsidP="000337C3">
            <w:pPr>
              <w:pStyle w:val="Sectionnumber"/>
              <w:numPr>
                <w:ilvl w:val="0"/>
                <w:numId w:val="0"/>
              </w:numPr>
              <w:spacing w:before="0" w:beforeAutospacing="0" w:after="120" w:afterAutospacing="0"/>
              <w:rPr>
                <w:b w:val="0"/>
              </w:rPr>
            </w:pPr>
            <w:r>
              <w:rPr>
                <w:b w:val="0"/>
              </w:rPr>
              <w:t xml:space="preserve">Substantially similar, slight technical differences in language. </w:t>
            </w:r>
          </w:p>
          <w:p w:rsidR="0089039C" w:rsidRDefault="0089039C" w:rsidP="000337C3">
            <w:pPr>
              <w:pStyle w:val="Sectionnumber"/>
              <w:numPr>
                <w:ilvl w:val="0"/>
                <w:numId w:val="0"/>
              </w:numPr>
              <w:spacing w:before="0" w:beforeAutospacing="0" w:after="120" w:afterAutospacing="0"/>
              <w:rPr>
                <w:b w:val="0"/>
              </w:rPr>
            </w:pPr>
            <w:r>
              <w:rPr>
                <w:b w:val="0"/>
              </w:rPr>
              <w:t>Staff recommends Senate language.</w:t>
            </w:r>
          </w:p>
        </w:tc>
        <w:tc>
          <w:tcPr>
            <w:tcW w:w="6102" w:type="dxa"/>
            <w:tcBorders>
              <w:top w:val="single" w:sz="4" w:space="0" w:color="auto"/>
              <w:left w:val="single" w:sz="4" w:space="0" w:color="auto"/>
              <w:bottom w:val="single" w:sz="4" w:space="0" w:color="auto"/>
              <w:right w:val="single" w:sz="4" w:space="0" w:color="auto"/>
            </w:tcBorders>
          </w:tcPr>
          <w:p w:rsidR="00152E45" w:rsidRDefault="00596443" w:rsidP="00596443">
            <w:pPr>
              <w:pStyle w:val="Sectionnumber"/>
              <w:numPr>
                <w:ilvl w:val="0"/>
                <w:numId w:val="0"/>
              </w:numPr>
              <w:spacing w:before="0" w:beforeAutospacing="0" w:after="120" w:afterAutospacing="0"/>
              <w:rPr>
                <w:b w:val="0"/>
              </w:rPr>
            </w:pPr>
            <w:r>
              <w:rPr>
                <w:rStyle w:val="Strong"/>
                <w:b/>
              </w:rPr>
              <w:t>Article 4, s</w:t>
            </w:r>
            <w:r w:rsidR="00152E45" w:rsidRPr="00152E45">
              <w:rPr>
                <w:rStyle w:val="Strong"/>
                <w:b/>
              </w:rPr>
              <w:t>ec. 54. Local welfare agency, Department of Human Services</w:t>
            </w:r>
            <w:r w:rsidR="00152E45" w:rsidRPr="000337C3">
              <w:rPr>
                <w:rStyle w:val="Strong"/>
                <w:b/>
              </w:rPr>
              <w:t>, or Department of Health responsible for assessing or investigating reports of maltreatment.</w:t>
            </w:r>
            <w:r w:rsidR="00152E45" w:rsidRPr="003518D8">
              <w:rPr>
                <w:b w:val="0"/>
                <w:bCs/>
              </w:rPr>
              <w:t xml:space="preserve"> Amends § 626.556, subd. 3c. Moves responsibility for assessing or investigating allegations of child maltreatment in children’s residential facilities licensed by the Department of Corrections from the county local welfare agency to the Department of Human Services.</w:t>
            </w:r>
          </w:p>
        </w:tc>
      </w:tr>
    </w:tbl>
    <w:p w:rsidR="00A40EB5" w:rsidRDefault="004171DA" w:rsidP="00F177BC">
      <w:pPr>
        <w:tabs>
          <w:tab w:val="left" w:pos="0"/>
          <w:tab w:val="left" w:pos="1980"/>
          <w:tab w:val="left" w:pos="2340"/>
          <w:tab w:val="left" w:pos="2700"/>
          <w:tab w:val="left" w:pos="3060"/>
        </w:tabs>
        <w:ind w:right="360"/>
      </w:pPr>
      <w:r>
        <w:t xml:space="preserve"> </w:t>
      </w:r>
    </w:p>
    <w:sectPr w:rsidR="00A40EB5" w:rsidSect="00A35506">
      <w:headerReference w:type="default" r:id="rId8"/>
      <w:footerReference w:type="default" r:id="rId9"/>
      <w:footerReference w:type="first" r:id="rId10"/>
      <w:pgSz w:w="20160" w:h="12240" w:orient="landscape" w:code="5"/>
      <w:pgMar w:top="576" w:right="720" w:bottom="1008" w:left="720" w:header="720" w:footer="576" w:gutter="0"/>
      <w:paperSrc w:first="2" w:other="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9F9" w:rsidRDefault="00E649F9">
      <w:pPr>
        <w:spacing w:after="0"/>
      </w:pPr>
      <w:r>
        <w:separator/>
      </w:r>
    </w:p>
  </w:endnote>
  <w:endnote w:type="continuationSeparator" w:id="0">
    <w:p w:rsidR="00E649F9" w:rsidRDefault="00E64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E57E6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E57E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9F9" w:rsidRDefault="00E649F9">
      <w:pPr>
        <w:spacing w:after="0"/>
      </w:pPr>
      <w:r>
        <w:separator/>
      </w:r>
    </w:p>
  </w:footnote>
  <w:footnote w:type="continuationSeparator" w:id="0">
    <w:p w:rsidR="00E649F9" w:rsidRDefault="00E649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604ED1">
    <w:pPr>
      <w:pStyle w:val="Header"/>
      <w:tabs>
        <w:tab w:val="clear" w:pos="4320"/>
        <w:tab w:val="clear" w:pos="8640"/>
        <w:tab w:val="right" w:pos="18360"/>
      </w:tabs>
      <w:spacing w:after="0"/>
      <w:ind w:left="360"/>
      <w:rPr>
        <w:sz w:val="20"/>
      </w:rPr>
    </w:pPr>
    <w:r>
      <w:rPr>
        <w:sz w:val="20"/>
      </w:rPr>
      <w:t xml:space="preserve">Bill Summary Comparison of Senate File </w:t>
    </w:r>
    <w:r w:rsidR="00146B59">
      <w:rPr>
        <w:sz w:val="20"/>
      </w:rPr>
      <w:t>800</w:t>
    </w:r>
    <w:r w:rsidR="00CE4701">
      <w:rPr>
        <w:sz w:val="20"/>
      </w:rPr>
      <w:t>-3</w:t>
    </w:r>
    <w:r>
      <w:rPr>
        <w:sz w:val="20"/>
      </w:rPr>
      <w:t xml:space="preserve">/House File </w:t>
    </w:r>
    <w:r w:rsidR="00604ED1">
      <w:rPr>
        <w:sz w:val="20"/>
      </w:rPr>
      <w:t>UES0800-2</w:t>
    </w:r>
    <w:r>
      <w:rPr>
        <w:sz w:val="20"/>
      </w:rPr>
      <w:tab/>
    </w:r>
    <w:r w:rsidR="00080C2F">
      <w:rPr>
        <w:sz w:val="20"/>
      </w:rPr>
      <w:t xml:space="preserve">April </w:t>
    </w:r>
    <w:r w:rsidR="00152E45">
      <w:rPr>
        <w:sz w:val="20"/>
      </w:rPr>
      <w:t>1</w:t>
    </w:r>
    <w:r w:rsidR="007D3503">
      <w:rPr>
        <w:sz w:val="20"/>
      </w:rPr>
      <w:t>8</w:t>
    </w:r>
    <w:r w:rsidR="00080C2F">
      <w:rPr>
        <w:sz w:val="20"/>
      </w:rPr>
      <w:t>, 2017</w:t>
    </w:r>
  </w:p>
  <w:p w:rsidR="009A41A8" w:rsidRDefault="004171DA" w:rsidP="00604ED1">
    <w:pPr>
      <w:pStyle w:val="Header"/>
      <w:tabs>
        <w:tab w:val="clear" w:pos="4320"/>
        <w:tab w:val="clear" w:pos="8640"/>
        <w:tab w:val="right" w:pos="1836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57E68">
      <w:rPr>
        <w:rStyle w:val="PageNumber"/>
        <w:noProof/>
        <w:sz w:val="20"/>
      </w:rPr>
      <w:t>3</w:t>
    </w:r>
    <w:r>
      <w:rPr>
        <w:rStyle w:val="PageNumber"/>
        <w:sz w:val="20"/>
      </w:rPr>
      <w:fldChar w:fldCharType="end"/>
    </w:r>
  </w:p>
  <w:p w:rsidR="009A41A8" w:rsidRDefault="00E57E68">
    <w:pPr>
      <w:pStyle w:val="Header"/>
      <w:tabs>
        <w:tab w:val="clear" w:pos="4320"/>
        <w:tab w:val="clear" w:pos="8640"/>
        <w:tab w:val="right" w:pos="18810"/>
      </w:tabs>
      <w:spacing w:after="0"/>
      <w:rPr>
        <w:rStyle w:val="PageNumber"/>
        <w:sz w:val="20"/>
      </w:rPr>
    </w:pPr>
  </w:p>
  <w:p w:rsidR="009A41A8" w:rsidRDefault="004171DA" w:rsidP="00604ED1">
    <w:pPr>
      <w:pStyle w:val="Header"/>
      <w:tabs>
        <w:tab w:val="clear" w:pos="4320"/>
        <w:tab w:val="clear" w:pos="8640"/>
        <w:tab w:val="left" w:pos="288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24C0910"/>
    <w:multiLevelType w:val="hybridMultilevel"/>
    <w:tmpl w:val="96DAB05A"/>
    <w:lvl w:ilvl="0" w:tplc="AA4237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9F21B4"/>
    <w:multiLevelType w:val="hybridMultilevel"/>
    <w:tmpl w:val="173E1E06"/>
    <w:lvl w:ilvl="0" w:tplc="F8CE9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714AC"/>
    <w:multiLevelType w:val="hybridMultilevel"/>
    <w:tmpl w:val="AD08A8CC"/>
    <w:lvl w:ilvl="0" w:tplc="78640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C2F18"/>
    <w:multiLevelType w:val="hybridMultilevel"/>
    <w:tmpl w:val="7ABAC166"/>
    <w:lvl w:ilvl="0" w:tplc="8A9C2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gutterAtTop/>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337C3"/>
    <w:rsid w:val="00074C62"/>
    <w:rsid w:val="00080C2F"/>
    <w:rsid w:val="00111816"/>
    <w:rsid w:val="00146B59"/>
    <w:rsid w:val="00152E45"/>
    <w:rsid w:val="002060AC"/>
    <w:rsid w:val="00210D2E"/>
    <w:rsid w:val="002A1737"/>
    <w:rsid w:val="003C60DD"/>
    <w:rsid w:val="004171DA"/>
    <w:rsid w:val="00430B59"/>
    <w:rsid w:val="00470554"/>
    <w:rsid w:val="004A2613"/>
    <w:rsid w:val="00532292"/>
    <w:rsid w:val="00596443"/>
    <w:rsid w:val="005E1F10"/>
    <w:rsid w:val="00604ED1"/>
    <w:rsid w:val="00692918"/>
    <w:rsid w:val="007C388C"/>
    <w:rsid w:val="007D3503"/>
    <w:rsid w:val="00820052"/>
    <w:rsid w:val="0089039C"/>
    <w:rsid w:val="009A19F5"/>
    <w:rsid w:val="009B0F70"/>
    <w:rsid w:val="00A16634"/>
    <w:rsid w:val="00A35506"/>
    <w:rsid w:val="00A40EB5"/>
    <w:rsid w:val="00A55783"/>
    <w:rsid w:val="00BD353F"/>
    <w:rsid w:val="00C43393"/>
    <w:rsid w:val="00CE4701"/>
    <w:rsid w:val="00CF6F12"/>
    <w:rsid w:val="00D42773"/>
    <w:rsid w:val="00D676A5"/>
    <w:rsid w:val="00DC1CC2"/>
    <w:rsid w:val="00E12516"/>
    <w:rsid w:val="00E173B0"/>
    <w:rsid w:val="00E57E68"/>
    <w:rsid w:val="00E649F9"/>
    <w:rsid w:val="00E75560"/>
    <w:rsid w:val="00F177BC"/>
    <w:rsid w:val="00F6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NormalWeb">
    <w:name w:val="Normal (Web)"/>
    <w:basedOn w:val="Normal"/>
    <w:uiPriority w:val="99"/>
    <w:unhideWhenUsed/>
    <w:rsid w:val="00080C2F"/>
    <w:pPr>
      <w:spacing w:before="100" w:beforeAutospacing="1" w:after="100" w:afterAutospacing="1"/>
    </w:pPr>
    <w:rPr>
      <w:szCs w:val="24"/>
    </w:rPr>
  </w:style>
  <w:style w:type="character" w:styleId="Strong">
    <w:name w:val="Strong"/>
    <w:uiPriority w:val="22"/>
    <w:qFormat/>
    <w:rsid w:val="00080C2F"/>
    <w:rPr>
      <w:b/>
      <w:bCs/>
    </w:rPr>
  </w:style>
  <w:style w:type="paragraph" w:styleId="BalloonText">
    <w:name w:val="Balloon Text"/>
    <w:basedOn w:val="Normal"/>
    <w:link w:val="BalloonTextChar"/>
    <w:uiPriority w:val="99"/>
    <w:semiHidden/>
    <w:unhideWhenUsed/>
    <w:rsid w:val="005322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92"/>
    <w:rPr>
      <w:rFonts w:ascii="Segoe UI" w:eastAsia="Times New Roman" w:hAnsi="Segoe UI" w:cs="Segoe UI"/>
      <w:sz w:val="18"/>
      <w:szCs w:val="18"/>
    </w:rPr>
  </w:style>
  <w:style w:type="paragraph" w:styleId="ListParagraph">
    <w:name w:val="List Paragraph"/>
    <w:basedOn w:val="Normal"/>
    <w:uiPriority w:val="34"/>
    <w:qFormat/>
    <w:rsid w:val="00890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B85B9-925C-488E-A5B9-DC84331D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7526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2017-04-18T14:58:00Z</cp:lastPrinted>
  <dcterms:created xsi:type="dcterms:W3CDTF">2017-04-18T20:33:00Z</dcterms:created>
  <dcterms:modified xsi:type="dcterms:W3CDTF">2017-04-18T20:33:00Z</dcterms:modified>
</cp:coreProperties>
</file>