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055BA" w14:textId="6C8CE421" w:rsidR="00636F08" w:rsidRDefault="00C5003F" w:rsidP="00C5003F">
      <w:pPr>
        <w:tabs>
          <w:tab w:val="left" w:pos="2496"/>
        </w:tabs>
        <w:rPr>
          <w:sz w:val="24"/>
          <w:szCs w:val="24"/>
        </w:rPr>
      </w:pPr>
      <w:r w:rsidRPr="00636F08">
        <w:rPr>
          <w:sz w:val="24"/>
          <w:szCs w:val="24"/>
        </w:rPr>
        <w:t>The H</w:t>
      </w:r>
      <w:r w:rsidR="003A5CB0" w:rsidRPr="00636F08">
        <w:rPr>
          <w:sz w:val="24"/>
          <w:szCs w:val="24"/>
        </w:rPr>
        <w:t>ome and Community-Based Services (HCBS)</w:t>
      </w:r>
      <w:r w:rsidRPr="00636F08">
        <w:rPr>
          <w:sz w:val="24"/>
          <w:szCs w:val="24"/>
        </w:rPr>
        <w:t xml:space="preserve"> Incentive Pool </w:t>
      </w:r>
      <w:r w:rsidR="00B85A07" w:rsidRPr="00636F08">
        <w:rPr>
          <w:sz w:val="24"/>
          <w:szCs w:val="24"/>
        </w:rPr>
        <w:t>will accelerate new models of disability services that align with Minnesot</w:t>
      </w:r>
      <w:r w:rsidR="003A5CB0" w:rsidRPr="00636F08">
        <w:rPr>
          <w:sz w:val="24"/>
          <w:szCs w:val="24"/>
        </w:rPr>
        <w:t>a’s Olmstead Plan.  Disability services p</w:t>
      </w:r>
      <w:r w:rsidR="00B85A07" w:rsidRPr="00636F08">
        <w:rPr>
          <w:sz w:val="24"/>
          <w:szCs w:val="24"/>
        </w:rPr>
        <w:t>roviders who access this pool will</w:t>
      </w:r>
      <w:r w:rsidR="0004714A" w:rsidRPr="00636F08">
        <w:rPr>
          <w:sz w:val="24"/>
          <w:szCs w:val="24"/>
        </w:rPr>
        <w:t xml:space="preserve"> </w:t>
      </w:r>
      <w:r w:rsidRPr="00636F08">
        <w:rPr>
          <w:sz w:val="24"/>
          <w:szCs w:val="24"/>
        </w:rPr>
        <w:t>increase community employment, living and inclusion</w:t>
      </w:r>
      <w:r w:rsidR="00B85A07" w:rsidRPr="00636F08">
        <w:rPr>
          <w:sz w:val="24"/>
          <w:szCs w:val="24"/>
        </w:rPr>
        <w:t xml:space="preserve"> for individuals with disabilities</w:t>
      </w:r>
      <w:r w:rsidRPr="00636F08">
        <w:rPr>
          <w:sz w:val="24"/>
          <w:szCs w:val="24"/>
        </w:rPr>
        <w:t xml:space="preserve">, and receive incentives </w:t>
      </w:r>
      <w:r w:rsidR="004A76E2">
        <w:rPr>
          <w:sz w:val="24"/>
          <w:szCs w:val="24"/>
        </w:rPr>
        <w:t xml:space="preserve">to support this transition </w:t>
      </w:r>
      <w:r w:rsidRPr="00636F08">
        <w:rPr>
          <w:sz w:val="24"/>
          <w:szCs w:val="24"/>
        </w:rPr>
        <w:t>when they reach specific benchmarks.</w:t>
      </w:r>
    </w:p>
    <w:p w14:paraId="5C2A6D0A" w14:textId="6B8DBCFF" w:rsidR="004A76E2" w:rsidRPr="00636F08" w:rsidRDefault="004A76E2" w:rsidP="004A76E2">
      <w:pPr>
        <w:tabs>
          <w:tab w:val="left" w:pos="2496"/>
        </w:tabs>
        <w:jc w:val="center"/>
        <w:rPr>
          <w:sz w:val="24"/>
          <w:szCs w:val="24"/>
        </w:rPr>
      </w:pPr>
      <w:r w:rsidRPr="00636F08">
        <w:rPr>
          <w:b/>
          <w:noProof/>
          <w:sz w:val="24"/>
          <w:szCs w:val="24"/>
        </w:rPr>
        <w:drawing>
          <wp:inline distT="0" distB="0" distL="0" distR="0" wp14:anchorId="379863AB" wp14:editId="02CF7A21">
            <wp:extent cx="4267200" cy="18128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686" cy="183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1D999" w14:textId="55A97706" w:rsidR="00C5003F" w:rsidRPr="004A76E2" w:rsidRDefault="00636F08" w:rsidP="00636F08">
      <w:pPr>
        <w:rPr>
          <w:sz w:val="28"/>
          <w:szCs w:val="28"/>
        </w:rPr>
      </w:pPr>
      <w:r w:rsidRPr="004A76E2">
        <w:rPr>
          <w:b/>
          <w:i/>
          <w:sz w:val="28"/>
          <w:szCs w:val="28"/>
        </w:rPr>
        <w:t>Request:</w:t>
      </w:r>
    </w:p>
    <w:p w14:paraId="7BBD7E3C" w14:textId="7656D740" w:rsidR="00C5003F" w:rsidRPr="00636F08" w:rsidRDefault="00C5003F" w:rsidP="00C5003F">
      <w:pPr>
        <w:rPr>
          <w:b/>
          <w:sz w:val="24"/>
          <w:szCs w:val="24"/>
        </w:rPr>
      </w:pPr>
      <w:r w:rsidRPr="00636F08">
        <w:rPr>
          <w:b/>
          <w:sz w:val="24"/>
          <w:szCs w:val="24"/>
        </w:rPr>
        <w:t xml:space="preserve">Increase the Home and Community-Based Services Incentive Pool to $10M per year. </w:t>
      </w:r>
    </w:p>
    <w:p w14:paraId="38AE17F0" w14:textId="77777777" w:rsidR="004A76E2" w:rsidRPr="004A76E2" w:rsidRDefault="00C5003F" w:rsidP="004A76E2">
      <w:pPr>
        <w:rPr>
          <w:sz w:val="28"/>
          <w:szCs w:val="28"/>
        </w:rPr>
      </w:pPr>
      <w:r w:rsidRPr="004A76E2">
        <w:rPr>
          <w:b/>
          <w:i/>
          <w:sz w:val="28"/>
          <w:szCs w:val="28"/>
        </w:rPr>
        <w:t xml:space="preserve">Why increase the </w:t>
      </w:r>
      <w:r w:rsidR="00636F08" w:rsidRPr="004A76E2">
        <w:rPr>
          <w:b/>
          <w:i/>
          <w:sz w:val="28"/>
          <w:szCs w:val="28"/>
        </w:rPr>
        <w:t>HCBS Incentive P</w:t>
      </w:r>
      <w:r w:rsidRPr="004A76E2">
        <w:rPr>
          <w:b/>
          <w:i/>
          <w:sz w:val="28"/>
          <w:szCs w:val="28"/>
        </w:rPr>
        <w:t>ool:</w:t>
      </w:r>
    </w:p>
    <w:p w14:paraId="089A6B6A" w14:textId="7CF7E605" w:rsidR="004A76E2" w:rsidRDefault="00474ED9" w:rsidP="004A76E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A76E2">
        <w:rPr>
          <w:sz w:val="24"/>
          <w:szCs w:val="24"/>
        </w:rPr>
        <w:t>Increasing</w:t>
      </w:r>
      <w:r w:rsidR="004A76E2" w:rsidRPr="004A76E2">
        <w:rPr>
          <w:sz w:val="24"/>
          <w:szCs w:val="24"/>
        </w:rPr>
        <w:t xml:space="preserve"> the pool</w:t>
      </w:r>
      <w:r w:rsidRPr="004A76E2">
        <w:rPr>
          <w:sz w:val="24"/>
          <w:szCs w:val="24"/>
        </w:rPr>
        <w:t xml:space="preserve"> to $10M is </w:t>
      </w:r>
      <w:r w:rsidR="00B85A07" w:rsidRPr="004A76E2">
        <w:rPr>
          <w:sz w:val="24"/>
          <w:szCs w:val="24"/>
        </w:rPr>
        <w:t>0</w:t>
      </w:r>
      <w:r w:rsidRPr="004A76E2">
        <w:rPr>
          <w:sz w:val="24"/>
          <w:szCs w:val="24"/>
        </w:rPr>
        <w:t>.5% of the current $2B</w:t>
      </w:r>
      <w:r w:rsidR="003A5CB0" w:rsidRPr="004A76E2">
        <w:rPr>
          <w:sz w:val="24"/>
          <w:szCs w:val="24"/>
        </w:rPr>
        <w:t xml:space="preserve"> disability waiver</w:t>
      </w:r>
      <w:r w:rsidRPr="004A76E2">
        <w:rPr>
          <w:sz w:val="24"/>
          <w:szCs w:val="24"/>
        </w:rPr>
        <w:t xml:space="preserve"> system where the </w:t>
      </w:r>
      <w:r w:rsidR="003A5CB0" w:rsidRPr="004A76E2">
        <w:rPr>
          <w:sz w:val="24"/>
          <w:szCs w:val="24"/>
        </w:rPr>
        <w:t>transition to new models must</w:t>
      </w:r>
      <w:r w:rsidRPr="004A76E2">
        <w:rPr>
          <w:sz w:val="24"/>
          <w:szCs w:val="24"/>
        </w:rPr>
        <w:t xml:space="preserve"> occur. </w:t>
      </w:r>
      <w:r w:rsidR="00CE152E" w:rsidRPr="004A76E2">
        <w:rPr>
          <w:sz w:val="24"/>
          <w:szCs w:val="24"/>
        </w:rPr>
        <w:t>Increasing the pool will increase opportunity for provides statewide to participate</w:t>
      </w:r>
      <w:r w:rsidR="00D7735F">
        <w:rPr>
          <w:sz w:val="24"/>
          <w:szCs w:val="24"/>
        </w:rPr>
        <w:t xml:space="preserve"> in shifting the system</w:t>
      </w:r>
      <w:r w:rsidR="00CE152E" w:rsidRPr="004A76E2">
        <w:rPr>
          <w:sz w:val="24"/>
          <w:szCs w:val="24"/>
        </w:rPr>
        <w:t>.</w:t>
      </w:r>
      <w:r w:rsidR="004A76E2" w:rsidRPr="004A76E2">
        <w:rPr>
          <w:sz w:val="24"/>
          <w:szCs w:val="24"/>
        </w:rPr>
        <w:t xml:space="preserve"> </w:t>
      </w:r>
    </w:p>
    <w:p w14:paraId="49CD3AC5" w14:textId="37DB3D88" w:rsidR="004A76E2" w:rsidRDefault="00C5003F" w:rsidP="004A76E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A76E2">
        <w:rPr>
          <w:sz w:val="24"/>
          <w:szCs w:val="24"/>
        </w:rPr>
        <w:t xml:space="preserve">Expanding the HCBS Incentive Pool </w:t>
      </w:r>
      <w:r w:rsidR="00D7735F">
        <w:rPr>
          <w:sz w:val="24"/>
          <w:szCs w:val="24"/>
        </w:rPr>
        <w:t>will</w:t>
      </w:r>
      <w:bookmarkStart w:id="0" w:name="_GoBack"/>
      <w:bookmarkEnd w:id="0"/>
      <w:r w:rsidRPr="004A76E2">
        <w:rPr>
          <w:sz w:val="24"/>
          <w:szCs w:val="24"/>
        </w:rPr>
        <w:t xml:space="preserve"> accelerate transition and model ways to move a $2B dollar disability waiver system to its next iteration</w:t>
      </w:r>
      <w:r w:rsidR="00636F08" w:rsidRPr="004A76E2">
        <w:rPr>
          <w:sz w:val="24"/>
          <w:szCs w:val="24"/>
        </w:rPr>
        <w:t>, as required by the Minnesota Olmstead Plan</w:t>
      </w:r>
      <w:r w:rsidRPr="004A76E2">
        <w:rPr>
          <w:sz w:val="24"/>
          <w:szCs w:val="24"/>
        </w:rPr>
        <w:t xml:space="preserve">. </w:t>
      </w:r>
    </w:p>
    <w:p w14:paraId="0127A218" w14:textId="77777777" w:rsidR="004A76E2" w:rsidRDefault="00C5003F" w:rsidP="004A76E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A76E2">
        <w:rPr>
          <w:sz w:val="24"/>
          <w:szCs w:val="24"/>
        </w:rPr>
        <w:t>The fund</w:t>
      </w:r>
      <w:r w:rsidR="00B85A07" w:rsidRPr="004A76E2">
        <w:rPr>
          <w:sz w:val="24"/>
          <w:szCs w:val="24"/>
        </w:rPr>
        <w:t xml:space="preserve"> will </w:t>
      </w:r>
      <w:r w:rsidRPr="004A76E2">
        <w:rPr>
          <w:sz w:val="24"/>
          <w:szCs w:val="24"/>
        </w:rPr>
        <w:t xml:space="preserve">spur innovation </w:t>
      </w:r>
      <w:r w:rsidR="003A5CB0" w:rsidRPr="004A76E2">
        <w:rPr>
          <w:sz w:val="24"/>
          <w:szCs w:val="24"/>
        </w:rPr>
        <w:t>by providers to demonstrate model</w:t>
      </w:r>
      <w:r w:rsidR="00CE152E" w:rsidRPr="004A76E2">
        <w:rPr>
          <w:sz w:val="24"/>
          <w:szCs w:val="24"/>
        </w:rPr>
        <w:t>s</w:t>
      </w:r>
      <w:r w:rsidR="003A5CB0" w:rsidRPr="004A76E2">
        <w:rPr>
          <w:sz w:val="24"/>
          <w:szCs w:val="24"/>
        </w:rPr>
        <w:t xml:space="preserve"> that will result </w:t>
      </w:r>
      <w:r w:rsidR="00B85A07" w:rsidRPr="004A76E2">
        <w:rPr>
          <w:sz w:val="24"/>
          <w:szCs w:val="24"/>
        </w:rPr>
        <w:t xml:space="preserve">in cost savings </w:t>
      </w:r>
      <w:r w:rsidR="003A5CB0" w:rsidRPr="004A76E2">
        <w:rPr>
          <w:sz w:val="24"/>
          <w:szCs w:val="24"/>
        </w:rPr>
        <w:t>and measurable outcomes</w:t>
      </w:r>
      <w:r w:rsidR="00B85A07" w:rsidRPr="004A76E2">
        <w:rPr>
          <w:sz w:val="24"/>
          <w:szCs w:val="24"/>
        </w:rPr>
        <w:t xml:space="preserve">. </w:t>
      </w:r>
    </w:p>
    <w:p w14:paraId="0632CA4D" w14:textId="68821C01" w:rsidR="00C5003F" w:rsidRPr="004A76E2" w:rsidRDefault="003A5CB0" w:rsidP="004A76E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A76E2">
        <w:rPr>
          <w:sz w:val="24"/>
          <w:szCs w:val="24"/>
        </w:rPr>
        <w:t>D</w:t>
      </w:r>
      <w:r w:rsidR="00C5003F" w:rsidRPr="004A76E2">
        <w:rPr>
          <w:sz w:val="24"/>
          <w:szCs w:val="24"/>
        </w:rPr>
        <w:t xml:space="preserve">ue to workforce challenges, stagnant reimbursement rates and other </w:t>
      </w:r>
      <w:r w:rsidR="00C5003F" w:rsidRPr="004A76E2">
        <w:rPr>
          <w:sz w:val="24"/>
          <w:szCs w:val="24"/>
        </w:rPr>
        <w:lastRenderedPageBreak/>
        <w:t xml:space="preserve">competition, </w:t>
      </w:r>
      <w:r w:rsidRPr="004A76E2">
        <w:rPr>
          <w:sz w:val="24"/>
          <w:szCs w:val="24"/>
        </w:rPr>
        <w:t>exploration of i</w:t>
      </w:r>
      <w:r w:rsidRPr="004A76E2">
        <w:rPr>
          <w:sz w:val="24"/>
          <w:szCs w:val="24"/>
        </w:rPr>
        <w:t>nnovations are over and above core business processes</w:t>
      </w:r>
      <w:r w:rsidRPr="004A76E2">
        <w:rPr>
          <w:sz w:val="24"/>
          <w:szCs w:val="24"/>
        </w:rPr>
        <w:t>. P</w:t>
      </w:r>
      <w:r w:rsidR="00C5003F" w:rsidRPr="004A76E2">
        <w:rPr>
          <w:sz w:val="24"/>
          <w:szCs w:val="24"/>
        </w:rPr>
        <w:t xml:space="preserve">roviders </w:t>
      </w:r>
      <w:r w:rsidR="00B85A07" w:rsidRPr="004A76E2">
        <w:rPr>
          <w:sz w:val="24"/>
          <w:szCs w:val="24"/>
        </w:rPr>
        <w:t>are focused on day to day operations</w:t>
      </w:r>
      <w:r w:rsidR="00FC3B0A" w:rsidRPr="004A76E2">
        <w:rPr>
          <w:sz w:val="24"/>
          <w:szCs w:val="24"/>
        </w:rPr>
        <w:t xml:space="preserve"> and </w:t>
      </w:r>
      <w:r w:rsidR="00B85A07" w:rsidRPr="004A76E2">
        <w:rPr>
          <w:sz w:val="24"/>
          <w:szCs w:val="24"/>
        </w:rPr>
        <w:t>do not have the resources</w:t>
      </w:r>
      <w:r w:rsidRPr="004A76E2">
        <w:rPr>
          <w:sz w:val="24"/>
          <w:szCs w:val="24"/>
        </w:rPr>
        <w:t xml:space="preserve"> to invest in new models</w:t>
      </w:r>
      <w:r w:rsidR="00C5003F" w:rsidRPr="004A76E2">
        <w:rPr>
          <w:sz w:val="24"/>
          <w:szCs w:val="24"/>
        </w:rPr>
        <w:t>.</w:t>
      </w:r>
    </w:p>
    <w:p w14:paraId="63EA0D3B" w14:textId="61C3484A" w:rsidR="00C5003F" w:rsidRPr="00636F08" w:rsidRDefault="00C5003F">
      <w:pPr>
        <w:rPr>
          <w:b/>
          <w:i/>
          <w:sz w:val="28"/>
          <w:szCs w:val="24"/>
        </w:rPr>
      </w:pPr>
      <w:r w:rsidRPr="00636F08">
        <w:rPr>
          <w:b/>
          <w:i/>
          <w:sz w:val="28"/>
          <w:szCs w:val="24"/>
        </w:rPr>
        <w:t>Current status</w:t>
      </w:r>
      <w:r w:rsidR="00CE152E" w:rsidRPr="00636F08">
        <w:rPr>
          <w:b/>
          <w:i/>
          <w:sz w:val="28"/>
          <w:szCs w:val="24"/>
        </w:rPr>
        <w:t xml:space="preserve"> of the HCBS Incentive Pool</w:t>
      </w:r>
      <w:r w:rsidRPr="00636F08">
        <w:rPr>
          <w:b/>
          <w:i/>
          <w:sz w:val="28"/>
          <w:szCs w:val="24"/>
        </w:rPr>
        <w:t>:</w:t>
      </w:r>
    </w:p>
    <w:p w14:paraId="20199D60" w14:textId="0E5206AA" w:rsidR="00C5003F" w:rsidRPr="004A76E2" w:rsidRDefault="00C5003F" w:rsidP="00C5003F">
      <w:pPr>
        <w:tabs>
          <w:tab w:val="left" w:pos="2496"/>
        </w:tabs>
        <w:rPr>
          <w:b/>
          <w:sz w:val="24"/>
          <w:szCs w:val="24"/>
        </w:rPr>
      </w:pPr>
      <w:r w:rsidRPr="00636F08">
        <w:rPr>
          <w:b/>
          <w:sz w:val="24"/>
          <w:szCs w:val="24"/>
        </w:rPr>
        <w:t>The HCBS Incentive Pool is</w:t>
      </w:r>
      <w:r w:rsidR="00474ED9" w:rsidRPr="00636F08">
        <w:rPr>
          <w:b/>
          <w:sz w:val="24"/>
          <w:szCs w:val="24"/>
        </w:rPr>
        <w:t xml:space="preserve"> funded in FY 2017 at $1.425M; FY 2018-2019 at $3.573</w:t>
      </w:r>
      <w:r w:rsidRPr="00636F08">
        <w:rPr>
          <w:b/>
          <w:sz w:val="24"/>
          <w:szCs w:val="24"/>
        </w:rPr>
        <w:t xml:space="preserve"> M. </w:t>
      </w:r>
      <w:r w:rsidRPr="00636F08">
        <w:rPr>
          <w:sz w:val="24"/>
          <w:szCs w:val="24"/>
        </w:rPr>
        <w:t>The initial RFP will be release</w:t>
      </w:r>
      <w:r w:rsidR="00B85A07" w:rsidRPr="00636F08">
        <w:rPr>
          <w:sz w:val="24"/>
          <w:szCs w:val="24"/>
        </w:rPr>
        <w:t>d</w:t>
      </w:r>
      <w:r w:rsidRPr="00636F08">
        <w:rPr>
          <w:sz w:val="24"/>
          <w:szCs w:val="24"/>
        </w:rPr>
        <w:t xml:space="preserve"> in </w:t>
      </w:r>
      <w:r w:rsidR="003A5CB0" w:rsidRPr="00636F08">
        <w:rPr>
          <w:sz w:val="24"/>
          <w:szCs w:val="24"/>
        </w:rPr>
        <w:t>s</w:t>
      </w:r>
      <w:r w:rsidRPr="00636F08">
        <w:rPr>
          <w:sz w:val="24"/>
          <w:szCs w:val="24"/>
        </w:rPr>
        <w:t>pring 2016. The RFP will include:</w:t>
      </w:r>
    </w:p>
    <w:p w14:paraId="11B7201A" w14:textId="32C6FE07" w:rsidR="00C5003F" w:rsidRPr="00636F08" w:rsidRDefault="00C5003F" w:rsidP="00C5003F">
      <w:pPr>
        <w:pStyle w:val="ListParagraph"/>
        <w:numPr>
          <w:ilvl w:val="0"/>
          <w:numId w:val="1"/>
        </w:numPr>
        <w:tabs>
          <w:tab w:val="left" w:pos="2496"/>
        </w:tabs>
        <w:rPr>
          <w:sz w:val="24"/>
          <w:szCs w:val="24"/>
        </w:rPr>
      </w:pPr>
      <w:r w:rsidRPr="00636F08">
        <w:rPr>
          <w:sz w:val="24"/>
          <w:szCs w:val="24"/>
        </w:rPr>
        <w:t>Grants over $50,000 - one to three years,</w:t>
      </w:r>
      <w:r w:rsidR="00CE152E" w:rsidRPr="00636F08">
        <w:rPr>
          <w:sz w:val="24"/>
          <w:szCs w:val="24"/>
        </w:rPr>
        <w:t xml:space="preserve"> to demonstrate</w:t>
      </w:r>
      <w:r w:rsidRPr="00636F08">
        <w:rPr>
          <w:sz w:val="24"/>
          <w:szCs w:val="24"/>
        </w:rPr>
        <w:t xml:space="preserve"> outcomes in one or more areas of community employment, living and inclusion. </w:t>
      </w:r>
    </w:p>
    <w:p w14:paraId="39575013" w14:textId="170C214C" w:rsidR="00C5003F" w:rsidRPr="00636F08" w:rsidRDefault="00C5003F" w:rsidP="00C5003F">
      <w:pPr>
        <w:pStyle w:val="ListParagraph"/>
        <w:numPr>
          <w:ilvl w:val="0"/>
          <w:numId w:val="1"/>
        </w:numPr>
        <w:tabs>
          <w:tab w:val="left" w:pos="2496"/>
        </w:tabs>
        <w:rPr>
          <w:sz w:val="24"/>
          <w:szCs w:val="24"/>
        </w:rPr>
      </w:pPr>
      <w:r w:rsidRPr="00636F08">
        <w:rPr>
          <w:sz w:val="24"/>
          <w:szCs w:val="24"/>
        </w:rPr>
        <w:t xml:space="preserve">Grants under $50,000 - one to three years in any </w:t>
      </w:r>
      <w:r w:rsidR="00CE152E" w:rsidRPr="00636F08">
        <w:rPr>
          <w:sz w:val="24"/>
          <w:szCs w:val="24"/>
        </w:rPr>
        <w:t xml:space="preserve">one </w:t>
      </w:r>
      <w:r w:rsidRPr="00636F08">
        <w:rPr>
          <w:sz w:val="24"/>
          <w:szCs w:val="24"/>
        </w:rPr>
        <w:t>of the three areas.</w:t>
      </w:r>
    </w:p>
    <w:p w14:paraId="6F684A62" w14:textId="4766106A" w:rsidR="00474ED9" w:rsidRPr="00636F08" w:rsidRDefault="00C5003F" w:rsidP="00AF27F8">
      <w:pPr>
        <w:pStyle w:val="ListParagraph"/>
        <w:numPr>
          <w:ilvl w:val="0"/>
          <w:numId w:val="1"/>
        </w:numPr>
        <w:tabs>
          <w:tab w:val="left" w:pos="2496"/>
        </w:tabs>
        <w:rPr>
          <w:sz w:val="24"/>
          <w:szCs w:val="24"/>
        </w:rPr>
      </w:pPr>
      <w:r w:rsidRPr="00636F08">
        <w:rPr>
          <w:sz w:val="24"/>
          <w:szCs w:val="24"/>
        </w:rPr>
        <w:lastRenderedPageBreak/>
        <w:t xml:space="preserve">Micro-grants – one organization will administer a micro-grant program to people with disabilities </w:t>
      </w:r>
      <w:r w:rsidR="00CE152E" w:rsidRPr="00636F08">
        <w:rPr>
          <w:sz w:val="24"/>
          <w:szCs w:val="24"/>
        </w:rPr>
        <w:t xml:space="preserve">to </w:t>
      </w:r>
      <w:r w:rsidRPr="00636F08">
        <w:rPr>
          <w:sz w:val="24"/>
          <w:szCs w:val="24"/>
        </w:rPr>
        <w:t xml:space="preserve">pursue their ideas about housing, work and inclusion. </w:t>
      </w:r>
    </w:p>
    <w:p w14:paraId="1B9FA826" w14:textId="77777777" w:rsidR="003A5CB0" w:rsidRPr="00636F08" w:rsidRDefault="003A5CB0" w:rsidP="00CE152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4"/>
          <w:szCs w:val="24"/>
        </w:rPr>
      </w:pPr>
      <w:r w:rsidRPr="00636F08">
        <w:rPr>
          <w:sz w:val="24"/>
          <w:szCs w:val="24"/>
        </w:rPr>
        <w:t xml:space="preserve">Providers will be responsible for: </w:t>
      </w:r>
    </w:p>
    <w:p w14:paraId="57028076" w14:textId="4EFDE71B" w:rsidR="003A5CB0" w:rsidRPr="00636F08" w:rsidRDefault="00CE152E" w:rsidP="00CE152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4"/>
          <w:szCs w:val="24"/>
        </w:rPr>
      </w:pPr>
      <w:r w:rsidRPr="00636F08">
        <w:rPr>
          <w:sz w:val="24"/>
          <w:szCs w:val="24"/>
        </w:rPr>
        <w:t>Demonstrating how their proposal</w:t>
      </w:r>
      <w:r w:rsidR="003A5CB0" w:rsidRPr="00636F08">
        <w:rPr>
          <w:sz w:val="24"/>
          <w:szCs w:val="24"/>
        </w:rPr>
        <w:t xml:space="preserve"> is not covered by current reimbursements.</w:t>
      </w:r>
    </w:p>
    <w:p w14:paraId="1C91884D" w14:textId="77777777" w:rsidR="004A76E2" w:rsidRDefault="00CE152E" w:rsidP="004A76E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sz w:val="24"/>
          <w:szCs w:val="24"/>
        </w:rPr>
      </w:pPr>
      <w:r w:rsidRPr="004A76E2">
        <w:rPr>
          <w:sz w:val="24"/>
          <w:szCs w:val="24"/>
        </w:rPr>
        <w:t>Demonstrating h</w:t>
      </w:r>
      <w:r w:rsidR="003A5CB0" w:rsidRPr="004A76E2">
        <w:rPr>
          <w:sz w:val="24"/>
          <w:szCs w:val="24"/>
        </w:rPr>
        <w:t>ow they will measure the set benchmarks.</w:t>
      </w:r>
    </w:p>
    <w:p w14:paraId="63B3ADFA" w14:textId="070818AC" w:rsidR="00CE152E" w:rsidRPr="004A76E2" w:rsidRDefault="00CE152E" w:rsidP="008A2886">
      <w:pPr>
        <w:pStyle w:val="ListParagraph"/>
        <w:numPr>
          <w:ilvl w:val="1"/>
          <w:numId w:val="1"/>
        </w:numPr>
        <w:tabs>
          <w:tab w:val="left" w:pos="2496"/>
        </w:tabs>
        <w:spacing w:after="0" w:line="240" w:lineRule="auto"/>
        <w:contextualSpacing w:val="0"/>
        <w:rPr>
          <w:b/>
          <w:sz w:val="24"/>
          <w:szCs w:val="24"/>
        </w:rPr>
      </w:pPr>
      <w:r w:rsidRPr="004A76E2">
        <w:rPr>
          <w:sz w:val="24"/>
          <w:szCs w:val="24"/>
        </w:rPr>
        <w:t>Providing a plan for h</w:t>
      </w:r>
      <w:r w:rsidR="003A5CB0" w:rsidRPr="004A76E2">
        <w:rPr>
          <w:sz w:val="24"/>
          <w:szCs w:val="24"/>
        </w:rPr>
        <w:t xml:space="preserve">ow </w:t>
      </w:r>
      <w:r w:rsidRPr="004A76E2">
        <w:rPr>
          <w:sz w:val="24"/>
          <w:szCs w:val="24"/>
        </w:rPr>
        <w:t>they will</w:t>
      </w:r>
      <w:r w:rsidR="003A5CB0" w:rsidRPr="004A76E2">
        <w:rPr>
          <w:sz w:val="24"/>
          <w:szCs w:val="24"/>
        </w:rPr>
        <w:t xml:space="preserve"> disseminate models and findings</w:t>
      </w:r>
      <w:r w:rsidRPr="004A76E2">
        <w:rPr>
          <w:sz w:val="24"/>
          <w:szCs w:val="24"/>
        </w:rPr>
        <w:t xml:space="preserve"> for others</w:t>
      </w:r>
      <w:r w:rsidR="004A76E2" w:rsidRPr="004A76E2">
        <w:rPr>
          <w:sz w:val="24"/>
          <w:szCs w:val="24"/>
        </w:rPr>
        <w:t xml:space="preserve">. </w:t>
      </w:r>
    </w:p>
    <w:sectPr w:rsidR="00CE152E" w:rsidRPr="004A76E2" w:rsidSect="004A76E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A3178" w14:textId="77777777" w:rsidR="002146E8" w:rsidRDefault="002146E8" w:rsidP="00C5003F">
      <w:pPr>
        <w:spacing w:after="0" w:line="240" w:lineRule="auto"/>
      </w:pPr>
      <w:r>
        <w:separator/>
      </w:r>
    </w:p>
  </w:endnote>
  <w:endnote w:type="continuationSeparator" w:id="0">
    <w:p w14:paraId="3D4FF6DD" w14:textId="77777777" w:rsidR="002146E8" w:rsidRDefault="002146E8" w:rsidP="00C5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101B" w14:textId="1A63DA08" w:rsidR="004A76E2" w:rsidRPr="00D7735F" w:rsidRDefault="004A76E2">
    <w:pPr>
      <w:pStyle w:val="Footer"/>
      <w:rPr>
        <w:rFonts w:asciiTheme="majorHAnsi" w:eastAsiaTheme="majorEastAsia" w:hAnsiTheme="majorHAnsi" w:cstheme="majorBidi"/>
        <w:b/>
        <w:caps/>
        <w:sz w:val="20"/>
        <w:szCs w:val="20"/>
      </w:rPr>
    </w:pPr>
    <w:r w:rsidRPr="00D7735F">
      <w:rPr>
        <w:rFonts w:asciiTheme="majorHAnsi" w:eastAsiaTheme="majorEastAsia" w:hAnsiTheme="majorHAnsi" w:cstheme="majorBidi"/>
        <w:b/>
        <w:caps/>
        <w:sz w:val="20"/>
        <w:szCs w:val="20"/>
      </w:rPr>
      <w:t xml:space="preserve">Contact: Susie schatz, LSS of MN, 651-278-5422, </w:t>
    </w:r>
    <w:hyperlink r:id="rId1" w:history="1">
      <w:r w:rsidRPr="00D7735F">
        <w:rPr>
          <w:rStyle w:val="Hyperlink"/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>sschatz@lssmn.org</w:t>
      </w:r>
    </w:hyperlink>
    <w:r w:rsidRPr="00D7735F">
      <w:rPr>
        <w:rFonts w:asciiTheme="majorHAnsi" w:eastAsiaTheme="majorEastAsia" w:hAnsiTheme="majorHAnsi" w:cstheme="majorBidi"/>
        <w:b/>
        <w: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2F0D6" w14:textId="77777777" w:rsidR="002146E8" w:rsidRDefault="002146E8" w:rsidP="00C5003F">
      <w:pPr>
        <w:spacing w:after="0" w:line="240" w:lineRule="auto"/>
      </w:pPr>
      <w:r>
        <w:separator/>
      </w:r>
    </w:p>
  </w:footnote>
  <w:footnote w:type="continuationSeparator" w:id="0">
    <w:p w14:paraId="36476706" w14:textId="77777777" w:rsidR="002146E8" w:rsidRDefault="002146E8" w:rsidP="00C5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7E4FF" w14:textId="304C9290" w:rsidR="00C5003F" w:rsidRPr="00C5003F" w:rsidRDefault="00C5003F" w:rsidP="00C5003F">
    <w:pPr>
      <w:jc w:val="center"/>
      <w:rPr>
        <w:b/>
        <w:sz w:val="28"/>
        <w:szCs w:val="28"/>
      </w:rPr>
    </w:pPr>
    <w:r w:rsidRPr="00C5003F">
      <w:rPr>
        <w:b/>
        <w:sz w:val="28"/>
        <w:szCs w:val="28"/>
      </w:rPr>
      <w:t>Home and Communit</w:t>
    </w:r>
    <w:r w:rsidR="00636F08">
      <w:rPr>
        <w:b/>
        <w:sz w:val="28"/>
        <w:szCs w:val="28"/>
      </w:rPr>
      <w:t>y-Based Services Incentive Pool [</w:t>
    </w:r>
    <w:r w:rsidRPr="00636F08">
      <w:rPr>
        <w:b/>
        <w:sz w:val="24"/>
        <w:szCs w:val="24"/>
      </w:rPr>
      <w:t>HF3301/SF2572</w:t>
    </w:r>
    <w:r w:rsidR="00636F08">
      <w:rPr>
        <w:b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725F"/>
    <w:multiLevelType w:val="hybridMultilevel"/>
    <w:tmpl w:val="0668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7599"/>
    <w:multiLevelType w:val="hybridMultilevel"/>
    <w:tmpl w:val="A1C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5BDC"/>
    <w:multiLevelType w:val="hybridMultilevel"/>
    <w:tmpl w:val="9C2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43BA2"/>
    <w:multiLevelType w:val="hybridMultilevel"/>
    <w:tmpl w:val="4B98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623E"/>
    <w:multiLevelType w:val="hybridMultilevel"/>
    <w:tmpl w:val="5CD4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E7D78"/>
    <w:multiLevelType w:val="hybridMultilevel"/>
    <w:tmpl w:val="4C7A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3F"/>
    <w:rsid w:val="0004714A"/>
    <w:rsid w:val="0019357D"/>
    <w:rsid w:val="002146E8"/>
    <w:rsid w:val="003A5CB0"/>
    <w:rsid w:val="00474ED9"/>
    <w:rsid w:val="004A76E2"/>
    <w:rsid w:val="00635C1F"/>
    <w:rsid w:val="00636F08"/>
    <w:rsid w:val="007D7871"/>
    <w:rsid w:val="00AD0D94"/>
    <w:rsid w:val="00B85A07"/>
    <w:rsid w:val="00C5003F"/>
    <w:rsid w:val="00CE152E"/>
    <w:rsid w:val="00D7735F"/>
    <w:rsid w:val="00FC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C04B"/>
  <w15:chartTrackingRefBased/>
  <w15:docId w15:val="{31C76151-BFAB-4B93-AA4B-8BD912FE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03F"/>
  </w:style>
  <w:style w:type="paragraph" w:styleId="Footer">
    <w:name w:val="footer"/>
    <w:basedOn w:val="Normal"/>
    <w:link w:val="FooterChar"/>
    <w:uiPriority w:val="99"/>
    <w:unhideWhenUsed/>
    <w:rsid w:val="00C50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03F"/>
  </w:style>
  <w:style w:type="character" w:styleId="Hyperlink">
    <w:name w:val="Hyperlink"/>
    <w:basedOn w:val="DefaultParagraphFont"/>
    <w:uiPriority w:val="99"/>
    <w:unhideWhenUsed/>
    <w:rsid w:val="00474E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chatz@lssm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CC365-353B-42EF-9166-720DB53D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Lutheran Social Service of MN - IT Dept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Schatz</dc:creator>
  <cp:keywords/>
  <dc:description/>
  <cp:lastModifiedBy>Susie Schatz</cp:lastModifiedBy>
  <cp:revision>2</cp:revision>
  <dcterms:created xsi:type="dcterms:W3CDTF">2016-04-10T15:32:00Z</dcterms:created>
  <dcterms:modified xsi:type="dcterms:W3CDTF">2016-04-10T15:32:00Z</dcterms:modified>
</cp:coreProperties>
</file>