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C448E1">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C448E1">
        <w:fldChar w:fldCharType="begin"/>
      </w:r>
      <w:r>
        <w:instrText>ADVANCE \u14</w:instrText>
      </w:r>
      <w:r w:rsidR="00C448E1">
        <w:fldChar w:fldCharType="end"/>
      </w:r>
      <w:r>
        <w:tab/>
        <w:t>Bill Summary</w:t>
      </w:r>
      <w:r w:rsidR="00D7022A">
        <w:t xml:space="preserve"> </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0C365F">
        <w:t>1101</w:t>
      </w:r>
      <w:r>
        <w:tab/>
      </w:r>
      <w:r>
        <w:rPr>
          <w:rFonts w:ascii="Arial" w:hAnsi="Arial"/>
          <w:b/>
          <w:sz w:val="28"/>
        </w:rPr>
        <w:t>DATE:</w:t>
      </w:r>
      <w:r>
        <w:rPr>
          <w:rFonts w:ascii="Arial" w:hAnsi="Arial"/>
          <w:b/>
          <w:sz w:val="28"/>
        </w:rPr>
        <w:tab/>
      </w:r>
      <w:r w:rsidR="00B92E70">
        <w:rPr>
          <w:bCs/>
        </w:rPr>
        <w:t>March 16</w:t>
      </w:r>
      <w:r w:rsidR="004D3D26" w:rsidRPr="004D3D26">
        <w:rPr>
          <w:bCs/>
        </w:rPr>
        <w:t>, 201</w:t>
      </w:r>
      <w:r w:rsidR="004D3D26">
        <w:rPr>
          <w:bCs/>
        </w:rPr>
        <w:t>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0C365F">
        <w:rPr>
          <w:bCs/>
        </w:rPr>
        <w:t>The delete-everything amendment</w:t>
      </w:r>
      <w:r w:rsidR="004D3D26">
        <w:rPr>
          <w:bCs/>
        </w:rPr>
        <w:t xml:space="preserve"> (H1101DE1</w:t>
      </w:r>
      <w:r w:rsidR="00B92E70">
        <w:rPr>
          <w:bCs/>
        </w:rPr>
        <w:t>-1</w:t>
      </w:r>
      <w:r w:rsidR="004D3D26">
        <w:rPr>
          <w:bCs/>
        </w:rPr>
        <w:t>)</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0C365F">
        <w:rPr>
          <w:bCs/>
        </w:rPr>
        <w:t>Nornes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0C365F">
        <w:rPr>
          <w:bCs/>
        </w:rPr>
        <w:t>Higher education omnibus appropriations</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0C365F">
        <w:rPr>
          <w:sz w:val="22"/>
        </w:rPr>
        <w:t>Kathy Novak</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C448E1">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bl>
    <w:p w:rsidR="00A97652" w:rsidRDefault="00A97652">
      <w:pPr>
        <w:pStyle w:val="Sectionnumber"/>
        <w:sectPr w:rsidR="00A97652">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tbl>
      <w:tblPr>
        <w:tblW w:w="10296" w:type="dxa"/>
        <w:tblCellMar>
          <w:left w:w="58" w:type="dxa"/>
          <w:right w:w="58" w:type="dxa"/>
        </w:tblCellMar>
        <w:tblLook w:val="0000"/>
      </w:tblPr>
      <w:tblGrid>
        <w:gridCol w:w="1195"/>
        <w:gridCol w:w="9101"/>
      </w:tblGrid>
      <w:tr w:rsidR="00A97652" w:rsidTr="00A97652">
        <w:tc>
          <w:tcPr>
            <w:tcW w:w="10296" w:type="dxa"/>
            <w:gridSpan w:val="2"/>
            <w:tcMar>
              <w:top w:w="288" w:type="dxa"/>
              <w:bottom w:w="115" w:type="dxa"/>
              <w:right w:w="43" w:type="dxa"/>
            </w:tcMar>
          </w:tcPr>
          <w:p w:rsidR="00A97652" w:rsidRPr="00A97652" w:rsidRDefault="00A97652" w:rsidP="00DE6A2A">
            <w:pPr>
              <w:pStyle w:val="Heading1"/>
            </w:pPr>
            <w:r>
              <w:lastRenderedPageBreak/>
              <w:t xml:space="preserve">Article </w:t>
            </w:r>
            <w:r w:rsidR="00DE6A2A">
              <w:t>1: Higher Education Appropriations</w:t>
            </w:r>
          </w:p>
        </w:tc>
      </w:tr>
      <w:tr w:rsidR="002B114A">
        <w:tc>
          <w:tcPr>
            <w:tcW w:w="1195" w:type="dxa"/>
            <w:tcMar>
              <w:right w:w="43" w:type="dxa"/>
            </w:tcMar>
          </w:tcPr>
          <w:p w:rsidR="002B114A" w:rsidRDefault="002B114A" w:rsidP="00A97652">
            <w:pPr>
              <w:pStyle w:val="Sectionnumber"/>
              <w:numPr>
                <w:ilvl w:val="0"/>
                <w:numId w:val="41"/>
              </w:numPr>
            </w:pPr>
          </w:p>
        </w:tc>
        <w:tc>
          <w:tcPr>
            <w:tcW w:w="9101" w:type="dxa"/>
          </w:tcPr>
          <w:p w:rsidR="002B114A" w:rsidRPr="000C365F" w:rsidRDefault="000C365F" w:rsidP="000C365F">
            <w:pPr>
              <w:pStyle w:val="Sectionnumber"/>
              <w:numPr>
                <w:ilvl w:val="0"/>
                <w:numId w:val="0"/>
              </w:numPr>
              <w:rPr>
                <w:b w:val="0"/>
              </w:rPr>
            </w:pPr>
            <w:r>
              <w:rPr>
                <w:bCs/>
              </w:rPr>
              <w:t xml:space="preserve">Summary of Appropriations.  </w:t>
            </w:r>
            <w:r>
              <w:rPr>
                <w:b w:val="0"/>
                <w:bCs/>
              </w:rPr>
              <w:t>Summaries appropriations for the biennium ending June 30, 2013.</w:t>
            </w:r>
            <w:r w:rsidR="00691F8C">
              <w:rPr>
                <w:b w:val="0"/>
                <w:bCs/>
              </w:rPr>
              <w:t xml:space="preserve"> </w:t>
            </w:r>
            <w:r>
              <w:rPr>
                <w:b w:val="0"/>
                <w:bCs/>
              </w:rPr>
              <w:t xml:space="preserve"> Total appropriations of $2.51 billion consist of $2.5 billion from the general fund and</w:t>
            </w:r>
            <w:r w:rsidR="00797DE5">
              <w:rPr>
                <w:b w:val="0"/>
                <w:bCs/>
              </w:rPr>
              <w:t xml:space="preserve"> </w:t>
            </w:r>
            <w:r>
              <w:rPr>
                <w:b w:val="0"/>
                <w:bCs/>
              </w:rPr>
              <w:t>$4.3 million from the Health Care Access fund.</w:t>
            </w:r>
          </w:p>
        </w:tc>
      </w:tr>
      <w:tr w:rsidR="000C365F">
        <w:tc>
          <w:tcPr>
            <w:tcW w:w="1195" w:type="dxa"/>
            <w:tcMar>
              <w:right w:w="43" w:type="dxa"/>
            </w:tcMar>
          </w:tcPr>
          <w:p w:rsidR="000C365F" w:rsidRDefault="000C365F">
            <w:pPr>
              <w:pStyle w:val="Sectionnumber"/>
            </w:pPr>
          </w:p>
        </w:tc>
        <w:tc>
          <w:tcPr>
            <w:tcW w:w="9101" w:type="dxa"/>
          </w:tcPr>
          <w:p w:rsidR="000C365F" w:rsidRPr="001B31DA" w:rsidRDefault="000C365F" w:rsidP="000C365F">
            <w:pPr>
              <w:pStyle w:val="Sectionnumber"/>
              <w:numPr>
                <w:ilvl w:val="0"/>
                <w:numId w:val="0"/>
              </w:numPr>
              <w:rPr>
                <w:b w:val="0"/>
                <w:bCs/>
              </w:rPr>
            </w:pPr>
            <w:r>
              <w:rPr>
                <w:bCs/>
              </w:rPr>
              <w:t xml:space="preserve">Higher </w:t>
            </w:r>
            <w:r w:rsidR="001B31DA">
              <w:rPr>
                <w:bCs/>
              </w:rPr>
              <w:t xml:space="preserve">Education Appropriations. </w:t>
            </w:r>
            <w:r w:rsidR="001B31DA">
              <w:rPr>
                <w:b w:val="0"/>
                <w:bCs/>
              </w:rPr>
              <w:t xml:space="preserve"> Specifies that appropriations are for fiscal years 2012 (first year) and 2013 (second year) from the general fund or another named fund.</w:t>
            </w:r>
          </w:p>
        </w:tc>
      </w:tr>
      <w:tr w:rsidR="001B31DA">
        <w:tc>
          <w:tcPr>
            <w:tcW w:w="1195" w:type="dxa"/>
            <w:tcMar>
              <w:right w:w="43" w:type="dxa"/>
            </w:tcMar>
          </w:tcPr>
          <w:p w:rsidR="001B31DA" w:rsidRDefault="001B31DA">
            <w:pPr>
              <w:pStyle w:val="Sectionnumber"/>
            </w:pPr>
          </w:p>
        </w:tc>
        <w:tc>
          <w:tcPr>
            <w:tcW w:w="9101" w:type="dxa"/>
          </w:tcPr>
          <w:p w:rsidR="001B31DA" w:rsidRDefault="001B31DA" w:rsidP="001B31DA">
            <w:pPr>
              <w:pStyle w:val="Sectionnumber"/>
              <w:numPr>
                <w:ilvl w:val="0"/>
                <w:numId w:val="0"/>
              </w:numPr>
              <w:rPr>
                <w:b w:val="0"/>
                <w:bCs/>
              </w:rPr>
            </w:pPr>
            <w:r>
              <w:rPr>
                <w:bCs/>
              </w:rPr>
              <w:t xml:space="preserve">Minnesota Office of Higher Education.  </w:t>
            </w:r>
            <w:r>
              <w:rPr>
                <w:b w:val="0"/>
                <w:bCs/>
              </w:rPr>
              <w:t>Appropriates $195.3 million in fiscal year 2012 and $195 million in fiscal year 2013 from the general fund as follows:</w:t>
            </w:r>
          </w:p>
          <w:p w:rsidR="001B31DA" w:rsidRDefault="00DE70B0" w:rsidP="001B31DA">
            <w:pPr>
              <w:pStyle w:val="Sectionnumber"/>
              <w:numPr>
                <w:ilvl w:val="0"/>
                <w:numId w:val="29"/>
              </w:numPr>
              <w:rPr>
                <w:b w:val="0"/>
                <w:bCs/>
              </w:rPr>
            </w:pPr>
            <w:r>
              <w:rPr>
                <w:bCs/>
              </w:rPr>
              <w:t>S</w:t>
            </w:r>
            <w:r w:rsidR="001B31DA" w:rsidRPr="001B31DA">
              <w:rPr>
                <w:bCs/>
              </w:rPr>
              <w:t>tate grants</w:t>
            </w:r>
            <w:r w:rsidR="001B31DA">
              <w:rPr>
                <w:b w:val="0"/>
                <w:bCs/>
              </w:rPr>
              <w:t xml:space="preserve"> at $161.3 million each year and sets the four-year tuition maximum at $10,488</w:t>
            </w:r>
            <w:r w:rsidR="00797DE5">
              <w:rPr>
                <w:b w:val="0"/>
                <w:bCs/>
              </w:rPr>
              <w:t>,</w:t>
            </w:r>
            <w:r w:rsidR="001B31DA">
              <w:rPr>
                <w:b w:val="0"/>
                <w:bCs/>
              </w:rPr>
              <w:t xml:space="preserve"> the two-year tuition maximum at $5,808 each year</w:t>
            </w:r>
            <w:r w:rsidR="00797DE5">
              <w:rPr>
                <w:b w:val="0"/>
                <w:bCs/>
              </w:rPr>
              <w:t>,</w:t>
            </w:r>
            <w:r w:rsidR="001B31DA">
              <w:rPr>
                <w:b w:val="0"/>
                <w:bCs/>
              </w:rPr>
              <w:t xml:space="preserve"> and the living and miscellaneous expense (LME) allowance at $7,000 each year;</w:t>
            </w:r>
          </w:p>
          <w:p w:rsidR="001B31DA" w:rsidRDefault="00DE70B0" w:rsidP="001B31DA">
            <w:pPr>
              <w:pStyle w:val="Sectionnumber"/>
              <w:numPr>
                <w:ilvl w:val="0"/>
                <w:numId w:val="29"/>
              </w:numPr>
              <w:rPr>
                <w:b w:val="0"/>
                <w:bCs/>
              </w:rPr>
            </w:pPr>
            <w:r>
              <w:rPr>
                <w:bCs/>
              </w:rPr>
              <w:t>S</w:t>
            </w:r>
            <w:r w:rsidR="001B31DA" w:rsidRPr="001B31DA">
              <w:rPr>
                <w:bCs/>
              </w:rPr>
              <w:t xml:space="preserve">afety officer survivor grants </w:t>
            </w:r>
            <w:r w:rsidR="001B31DA">
              <w:rPr>
                <w:b w:val="0"/>
                <w:bCs/>
              </w:rPr>
              <w:t>at $100,000 each year with transfer authority between years;</w:t>
            </w:r>
          </w:p>
          <w:p w:rsidR="001B31DA" w:rsidRDefault="00DE70B0" w:rsidP="001B31DA">
            <w:pPr>
              <w:pStyle w:val="Sectionnumber"/>
              <w:numPr>
                <w:ilvl w:val="0"/>
                <w:numId w:val="29"/>
              </w:numPr>
              <w:rPr>
                <w:b w:val="0"/>
                <w:bCs/>
              </w:rPr>
            </w:pPr>
            <w:r>
              <w:rPr>
                <w:bCs/>
              </w:rPr>
              <w:t>C</w:t>
            </w:r>
            <w:r w:rsidR="001B31DA">
              <w:rPr>
                <w:bCs/>
              </w:rPr>
              <w:t xml:space="preserve">hild care grants </w:t>
            </w:r>
            <w:r w:rsidR="00A946A7" w:rsidRPr="00A946A7">
              <w:rPr>
                <w:b w:val="0"/>
                <w:bCs/>
              </w:rPr>
              <w:t>at</w:t>
            </w:r>
            <w:r w:rsidR="00A946A7">
              <w:rPr>
                <w:bCs/>
              </w:rPr>
              <w:t xml:space="preserve"> </w:t>
            </w:r>
            <w:r w:rsidR="001B31DA">
              <w:rPr>
                <w:b w:val="0"/>
                <w:bCs/>
              </w:rPr>
              <w:t>$6.6 million each year</w:t>
            </w:r>
            <w:r w:rsidR="00A946A7">
              <w:rPr>
                <w:b w:val="0"/>
                <w:bCs/>
              </w:rPr>
              <w:t>;</w:t>
            </w:r>
          </w:p>
          <w:p w:rsidR="00A946A7" w:rsidRPr="00A946A7" w:rsidRDefault="00DE70B0" w:rsidP="001B31DA">
            <w:pPr>
              <w:pStyle w:val="Sectionnumber"/>
              <w:numPr>
                <w:ilvl w:val="0"/>
                <w:numId w:val="29"/>
              </w:numPr>
              <w:rPr>
                <w:bCs/>
              </w:rPr>
            </w:pPr>
            <w:r>
              <w:rPr>
                <w:bCs/>
              </w:rPr>
              <w:t>S</w:t>
            </w:r>
            <w:r w:rsidR="00A946A7" w:rsidRPr="00A946A7">
              <w:rPr>
                <w:bCs/>
              </w:rPr>
              <w:t>tate work-study</w:t>
            </w:r>
            <w:r w:rsidR="00A946A7">
              <w:rPr>
                <w:bCs/>
              </w:rPr>
              <w:t xml:space="preserve"> </w:t>
            </w:r>
            <w:r w:rsidR="00A946A7" w:rsidRPr="00A946A7">
              <w:rPr>
                <w:b w:val="0"/>
                <w:bCs/>
              </w:rPr>
              <w:t>at</w:t>
            </w:r>
            <w:r w:rsidR="00A946A7">
              <w:rPr>
                <w:b w:val="0"/>
                <w:bCs/>
              </w:rPr>
              <w:t xml:space="preserve"> $12.9 million each year;</w:t>
            </w:r>
          </w:p>
          <w:p w:rsidR="00B92E70" w:rsidRPr="00B92E70" w:rsidRDefault="00A946A7" w:rsidP="00B92E70">
            <w:pPr>
              <w:pStyle w:val="Sectionnumber"/>
              <w:numPr>
                <w:ilvl w:val="0"/>
                <w:numId w:val="29"/>
              </w:numPr>
              <w:rPr>
                <w:bCs/>
              </w:rPr>
            </w:pPr>
            <w:r w:rsidRPr="00B92E70">
              <w:rPr>
                <w:bCs/>
              </w:rPr>
              <w:t xml:space="preserve">Indian scholarships </w:t>
            </w:r>
            <w:r w:rsidRPr="00B92E70">
              <w:rPr>
                <w:b w:val="0"/>
                <w:bCs/>
              </w:rPr>
              <w:t>at $1.9 million each year with funding for administration;</w:t>
            </w:r>
            <w:r w:rsidR="00B92E70">
              <w:rPr>
                <w:bCs/>
              </w:rPr>
              <w:br/>
            </w:r>
          </w:p>
          <w:p w:rsidR="00A946A7" w:rsidRPr="00B92E70" w:rsidRDefault="00A946A7" w:rsidP="00B92E70">
            <w:pPr>
              <w:pStyle w:val="Sectionnumber"/>
              <w:keepLines/>
              <w:widowControl w:val="0"/>
              <w:numPr>
                <w:ilvl w:val="0"/>
                <w:numId w:val="29"/>
              </w:numPr>
              <w:rPr>
                <w:bCs/>
              </w:rPr>
            </w:pPr>
            <w:r w:rsidRPr="00B92E70">
              <w:rPr>
                <w:bCs/>
              </w:rPr>
              <w:lastRenderedPageBreak/>
              <w:t xml:space="preserve">Intervention for college attendance program grants </w:t>
            </w:r>
            <w:r w:rsidRPr="00B92E70">
              <w:rPr>
                <w:b w:val="0"/>
                <w:bCs/>
              </w:rPr>
              <w:t>at $671,000 each year with $50,000 each year for administration;</w:t>
            </w:r>
          </w:p>
          <w:p w:rsidR="00A946A7" w:rsidRPr="00A946A7" w:rsidRDefault="00A946A7" w:rsidP="001B31DA">
            <w:pPr>
              <w:pStyle w:val="Sectionnumber"/>
              <w:numPr>
                <w:ilvl w:val="0"/>
                <w:numId w:val="29"/>
              </w:numPr>
              <w:rPr>
                <w:bCs/>
              </w:rPr>
            </w:pPr>
            <w:r>
              <w:rPr>
                <w:bCs/>
              </w:rPr>
              <w:t xml:space="preserve">Midwest higher education compact </w:t>
            </w:r>
            <w:r>
              <w:rPr>
                <w:b w:val="0"/>
                <w:bCs/>
              </w:rPr>
              <w:t>at $95,000 each year;</w:t>
            </w:r>
          </w:p>
          <w:p w:rsidR="00A946A7" w:rsidRPr="00A946A7" w:rsidRDefault="00A946A7" w:rsidP="001B31DA">
            <w:pPr>
              <w:pStyle w:val="Sectionnumber"/>
              <w:numPr>
                <w:ilvl w:val="0"/>
                <w:numId w:val="29"/>
              </w:numPr>
              <w:rPr>
                <w:bCs/>
              </w:rPr>
            </w:pPr>
            <w:r>
              <w:rPr>
                <w:bCs/>
              </w:rPr>
              <w:t xml:space="preserve">Interstate tuition reciprocity </w:t>
            </w:r>
            <w:r>
              <w:rPr>
                <w:b w:val="0"/>
                <w:bCs/>
              </w:rPr>
              <w:t>at $3.15 million the first year and $3.25 million the second year</w:t>
            </w:r>
            <w:r w:rsidR="00360155">
              <w:rPr>
                <w:b w:val="0"/>
                <w:bCs/>
              </w:rPr>
              <w:t>,</w:t>
            </w:r>
            <w:r>
              <w:rPr>
                <w:b w:val="0"/>
                <w:bCs/>
              </w:rPr>
              <w:t xml:space="preserve"> with transfer authority between years;</w:t>
            </w:r>
          </w:p>
          <w:p w:rsidR="00A946A7" w:rsidRPr="00A946A7" w:rsidRDefault="00A946A7" w:rsidP="001B31DA">
            <w:pPr>
              <w:pStyle w:val="Sectionnumber"/>
              <w:numPr>
                <w:ilvl w:val="0"/>
                <w:numId w:val="29"/>
              </w:numPr>
              <w:rPr>
                <w:bCs/>
              </w:rPr>
            </w:pPr>
            <w:r>
              <w:rPr>
                <w:bCs/>
              </w:rPr>
              <w:t xml:space="preserve">Minnesota college savings plan </w:t>
            </w:r>
            <w:r>
              <w:rPr>
                <w:b w:val="0"/>
                <w:bCs/>
              </w:rPr>
              <w:t>at $350,000 the first year;</w:t>
            </w:r>
          </w:p>
          <w:p w:rsidR="00A946A7" w:rsidRPr="00A946A7" w:rsidRDefault="00A946A7" w:rsidP="001B31DA">
            <w:pPr>
              <w:pStyle w:val="Sectionnumber"/>
              <w:numPr>
                <w:ilvl w:val="0"/>
                <w:numId w:val="29"/>
              </w:numPr>
              <w:rPr>
                <w:bCs/>
              </w:rPr>
            </w:pPr>
            <w:r>
              <w:rPr>
                <w:bCs/>
              </w:rPr>
              <w:t xml:space="preserve">MnLINK gateway and Minitex </w:t>
            </w:r>
            <w:r>
              <w:rPr>
                <w:b w:val="0"/>
                <w:bCs/>
              </w:rPr>
              <w:t>at $5.7 million each year;</w:t>
            </w:r>
          </w:p>
          <w:p w:rsidR="00A946A7" w:rsidRPr="003D170F" w:rsidRDefault="00A946A7" w:rsidP="001B31DA">
            <w:pPr>
              <w:pStyle w:val="Sectionnumber"/>
              <w:numPr>
                <w:ilvl w:val="0"/>
                <w:numId w:val="29"/>
              </w:numPr>
              <w:rPr>
                <w:bCs/>
              </w:rPr>
            </w:pPr>
            <w:r>
              <w:rPr>
                <w:bCs/>
              </w:rPr>
              <w:t xml:space="preserve">Student and parent information </w:t>
            </w:r>
            <w:r>
              <w:rPr>
                <w:b w:val="0"/>
                <w:bCs/>
              </w:rPr>
              <w:t xml:space="preserve">at $119,000 the first year and </w:t>
            </w:r>
            <w:r w:rsidR="003D170F">
              <w:rPr>
                <w:b w:val="0"/>
                <w:bCs/>
              </w:rPr>
              <w:t>$118,000 the second year;</w:t>
            </w:r>
          </w:p>
          <w:p w:rsidR="003D170F" w:rsidRPr="003D170F" w:rsidRDefault="003D170F" w:rsidP="001B31DA">
            <w:pPr>
              <w:pStyle w:val="Sectionnumber"/>
              <w:numPr>
                <w:ilvl w:val="0"/>
                <w:numId w:val="29"/>
              </w:numPr>
              <w:rPr>
                <w:bCs/>
              </w:rPr>
            </w:pPr>
            <w:r>
              <w:rPr>
                <w:bCs/>
              </w:rPr>
              <w:t xml:space="preserve">Get ready </w:t>
            </w:r>
            <w:r>
              <w:rPr>
                <w:b w:val="0"/>
                <w:bCs/>
              </w:rPr>
              <w:t>at $175,000 each year;</w:t>
            </w:r>
          </w:p>
          <w:p w:rsidR="003D170F" w:rsidRPr="003D170F" w:rsidRDefault="003D170F" w:rsidP="001B31DA">
            <w:pPr>
              <w:pStyle w:val="Sectionnumber"/>
              <w:numPr>
                <w:ilvl w:val="0"/>
                <w:numId w:val="29"/>
              </w:numPr>
              <w:rPr>
                <w:bCs/>
              </w:rPr>
            </w:pPr>
            <w:r>
              <w:rPr>
                <w:bCs/>
              </w:rPr>
              <w:t xml:space="preserve">Minnesota minority partnership </w:t>
            </w:r>
            <w:r>
              <w:rPr>
                <w:b w:val="0"/>
                <w:bCs/>
              </w:rPr>
              <w:t>at $43,000 each year; and</w:t>
            </w:r>
          </w:p>
          <w:p w:rsidR="003D170F" w:rsidRDefault="003D170F" w:rsidP="001B31DA">
            <w:pPr>
              <w:pStyle w:val="Sectionnumber"/>
              <w:numPr>
                <w:ilvl w:val="0"/>
                <w:numId w:val="29"/>
              </w:numPr>
              <w:rPr>
                <w:bCs/>
              </w:rPr>
            </w:pPr>
            <w:r>
              <w:rPr>
                <w:bCs/>
              </w:rPr>
              <w:t xml:space="preserve">Agency administration </w:t>
            </w:r>
            <w:r>
              <w:rPr>
                <w:b w:val="0"/>
                <w:bCs/>
              </w:rPr>
              <w:t>at $2.2 million each year</w:t>
            </w:r>
            <w:r>
              <w:rPr>
                <w:bCs/>
              </w:rPr>
              <w:t>.</w:t>
            </w:r>
          </w:p>
          <w:p w:rsidR="003D170F" w:rsidRPr="003D170F" w:rsidRDefault="003D170F" w:rsidP="00B92E70">
            <w:pPr>
              <w:pStyle w:val="Sectionnumber"/>
              <w:numPr>
                <w:ilvl w:val="0"/>
                <w:numId w:val="0"/>
              </w:numPr>
              <w:rPr>
                <w:b w:val="0"/>
                <w:bCs/>
              </w:rPr>
            </w:pPr>
            <w:r>
              <w:rPr>
                <w:b w:val="0"/>
                <w:bCs/>
              </w:rPr>
              <w:t>Allows balances in the first year to carry forward to the second year and authorizes the transfer of unencumbered balances between financial aid appropriations under specified conditions.</w:t>
            </w:r>
          </w:p>
        </w:tc>
      </w:tr>
      <w:tr w:rsidR="003D170F">
        <w:tc>
          <w:tcPr>
            <w:tcW w:w="1195" w:type="dxa"/>
            <w:tcMar>
              <w:right w:w="43" w:type="dxa"/>
            </w:tcMar>
          </w:tcPr>
          <w:p w:rsidR="003D170F" w:rsidRDefault="003D170F">
            <w:pPr>
              <w:pStyle w:val="Sectionnumber"/>
            </w:pPr>
          </w:p>
        </w:tc>
        <w:tc>
          <w:tcPr>
            <w:tcW w:w="9101" w:type="dxa"/>
          </w:tcPr>
          <w:p w:rsidR="009D3718" w:rsidRDefault="009D3718" w:rsidP="009D3718">
            <w:pPr>
              <w:pStyle w:val="Sectionnumber"/>
              <w:numPr>
                <w:ilvl w:val="0"/>
                <w:numId w:val="0"/>
              </w:numPr>
              <w:rPr>
                <w:b w:val="0"/>
                <w:bCs/>
              </w:rPr>
            </w:pPr>
            <w:r>
              <w:rPr>
                <w:bCs/>
              </w:rPr>
              <w:t>Board of Trustees of the Minnesota State Colleges and Universities.</w:t>
            </w:r>
            <w:r w:rsidR="00705A4F">
              <w:rPr>
                <w:b w:val="0"/>
                <w:bCs/>
              </w:rPr>
              <w:t xml:space="preserve"> Appropriates $528.693 </w:t>
            </w:r>
            <w:r>
              <w:rPr>
                <w:b w:val="0"/>
                <w:bCs/>
              </w:rPr>
              <w:t>million each fiscal year f</w:t>
            </w:r>
            <w:r w:rsidR="00705A4F">
              <w:rPr>
                <w:b w:val="0"/>
                <w:bCs/>
              </w:rPr>
              <w:t xml:space="preserve">rom the general fund as </w:t>
            </w:r>
            <w:r w:rsidR="00491393">
              <w:rPr>
                <w:b w:val="0"/>
                <w:bCs/>
              </w:rPr>
              <w:t>described below</w:t>
            </w:r>
            <w:r w:rsidR="00705A4F">
              <w:rPr>
                <w:b w:val="0"/>
                <w:bCs/>
              </w:rPr>
              <w:t>.</w:t>
            </w:r>
          </w:p>
          <w:p w:rsidR="009D3718" w:rsidRDefault="009D3718" w:rsidP="009D3718">
            <w:pPr>
              <w:pStyle w:val="Sectionnumber"/>
              <w:numPr>
                <w:ilvl w:val="0"/>
                <w:numId w:val="29"/>
              </w:numPr>
              <w:rPr>
                <w:b w:val="0"/>
                <w:bCs/>
              </w:rPr>
            </w:pPr>
            <w:r>
              <w:rPr>
                <w:bCs/>
              </w:rPr>
              <w:t>Central office and shared services unit</w:t>
            </w:r>
            <w:r w:rsidR="00006F9A">
              <w:rPr>
                <w:bCs/>
              </w:rPr>
              <w:t xml:space="preserve"> </w:t>
            </w:r>
            <w:r w:rsidR="00006F9A">
              <w:rPr>
                <w:b w:val="0"/>
                <w:bCs/>
              </w:rPr>
              <w:t>at $39.9 million each year with a prohibition against allocating or charging back any reductions t</w:t>
            </w:r>
            <w:r w:rsidR="00705A4F">
              <w:rPr>
                <w:b w:val="0"/>
                <w:bCs/>
              </w:rPr>
              <w:t>o campuses or institutions.</w:t>
            </w:r>
          </w:p>
          <w:p w:rsidR="00006F9A" w:rsidRDefault="00507975" w:rsidP="009D3718">
            <w:pPr>
              <w:pStyle w:val="Sectionnumber"/>
              <w:numPr>
                <w:ilvl w:val="0"/>
                <w:numId w:val="29"/>
              </w:numPr>
              <w:rPr>
                <w:b w:val="0"/>
                <w:bCs/>
              </w:rPr>
            </w:pPr>
            <w:r>
              <w:rPr>
                <w:bCs/>
              </w:rPr>
              <w:t xml:space="preserve">Operations and maintenance </w:t>
            </w:r>
            <w:r>
              <w:rPr>
                <w:b w:val="0"/>
                <w:bCs/>
              </w:rPr>
              <w:t>at $484.619 million each year, including funding for Cook County Higher Education Board.  One percent of the fiscal year 2013 O and M appropriation is contingent on meeting three of following five goals: (1) increase the number of credentials conferred; (2) increase the enrollment of students of color; (3) increase the number of students taking online or blended courses or the number of online or blended sections; (4) increase persistence and completion rates; and (5) decrease energy consumption. A report on the measures must be made to the legislature by April 1, 2012.</w:t>
            </w:r>
          </w:p>
          <w:p w:rsidR="00705A4F" w:rsidRDefault="00705A4F" w:rsidP="009D3718">
            <w:pPr>
              <w:pStyle w:val="Sectionnumber"/>
              <w:numPr>
                <w:ilvl w:val="0"/>
                <w:numId w:val="29"/>
              </w:numPr>
              <w:rPr>
                <w:b w:val="0"/>
                <w:bCs/>
              </w:rPr>
            </w:pPr>
            <w:r>
              <w:rPr>
                <w:bCs/>
              </w:rPr>
              <w:t xml:space="preserve">Learning network of Minnesota </w:t>
            </w:r>
            <w:r>
              <w:rPr>
                <w:b w:val="0"/>
                <w:bCs/>
              </w:rPr>
              <w:t>at $4.2 million each year.</w:t>
            </w:r>
          </w:p>
          <w:p w:rsidR="003D170F" w:rsidRDefault="00491393" w:rsidP="00491393">
            <w:pPr>
              <w:pStyle w:val="Sectionnumber"/>
              <w:numPr>
                <w:ilvl w:val="0"/>
                <w:numId w:val="29"/>
              </w:numPr>
              <w:rPr>
                <w:b w:val="0"/>
                <w:bCs/>
              </w:rPr>
            </w:pPr>
            <w:r w:rsidRPr="00491393">
              <w:rPr>
                <w:bCs/>
              </w:rPr>
              <w:t xml:space="preserve">Education priorities </w:t>
            </w:r>
            <w:r w:rsidRPr="00491393">
              <w:rPr>
                <w:b w:val="0"/>
                <w:bCs/>
              </w:rPr>
              <w:t xml:space="preserve">requires </w:t>
            </w:r>
            <w:r>
              <w:rPr>
                <w:b w:val="0"/>
                <w:bCs/>
              </w:rPr>
              <w:t xml:space="preserve">the </w:t>
            </w:r>
            <w:r w:rsidRPr="00491393">
              <w:rPr>
                <w:b w:val="0"/>
                <w:bCs/>
              </w:rPr>
              <w:t>MnSCU board</w:t>
            </w:r>
            <w:r>
              <w:rPr>
                <w:b w:val="0"/>
                <w:bCs/>
              </w:rPr>
              <w:t>, i</w:t>
            </w:r>
            <w:r w:rsidR="00705A4F" w:rsidRPr="00491393">
              <w:rPr>
                <w:b w:val="0"/>
                <w:bCs/>
              </w:rPr>
              <w:t xml:space="preserve">n carrying out its statutory responsibilities, </w:t>
            </w:r>
            <w:r>
              <w:rPr>
                <w:b w:val="0"/>
                <w:bCs/>
              </w:rPr>
              <w:t>to</w:t>
            </w:r>
            <w:r w:rsidR="00705A4F" w:rsidRPr="00491393">
              <w:rPr>
                <w:b w:val="0"/>
                <w:bCs/>
              </w:rPr>
              <w:t xml:space="preserve"> place priority on meeting the needs of Minnesota employers for skilled workers and focus on efficient and streamlined delivery of higher education to prepare students </w:t>
            </w:r>
            <w:r w:rsidR="00F63F4C">
              <w:rPr>
                <w:b w:val="0"/>
                <w:bCs/>
              </w:rPr>
              <w:t xml:space="preserve">for </w:t>
            </w:r>
            <w:r w:rsidR="00705A4F" w:rsidRPr="00491393">
              <w:rPr>
                <w:b w:val="0"/>
                <w:bCs/>
              </w:rPr>
              <w:t>the workforce needs</w:t>
            </w:r>
            <w:r w:rsidR="00F63F4C">
              <w:rPr>
                <w:b w:val="0"/>
                <w:bCs/>
              </w:rPr>
              <w:t xml:space="preserve"> of Minnesota</w:t>
            </w:r>
            <w:r w:rsidR="00705A4F" w:rsidRPr="00491393">
              <w:rPr>
                <w:b w:val="0"/>
                <w:bCs/>
              </w:rPr>
              <w:t>.</w:t>
            </w:r>
          </w:p>
          <w:p w:rsidR="00705A4F" w:rsidRPr="009D3718" w:rsidRDefault="00491393" w:rsidP="00491393">
            <w:pPr>
              <w:pStyle w:val="Sectionnumber"/>
              <w:numPr>
                <w:ilvl w:val="0"/>
                <w:numId w:val="29"/>
              </w:numPr>
              <w:rPr>
                <w:b w:val="0"/>
                <w:bCs/>
              </w:rPr>
            </w:pPr>
            <w:r>
              <w:rPr>
                <w:bCs/>
              </w:rPr>
              <w:t xml:space="preserve">Tuition maximums </w:t>
            </w:r>
            <w:r w:rsidRPr="00491393">
              <w:rPr>
                <w:b w:val="0"/>
                <w:bCs/>
              </w:rPr>
              <w:t>set the</w:t>
            </w:r>
            <w:r>
              <w:rPr>
                <w:bCs/>
              </w:rPr>
              <w:t xml:space="preserve"> </w:t>
            </w:r>
            <w:r>
              <w:rPr>
                <w:b w:val="0"/>
                <w:bCs/>
              </w:rPr>
              <w:t xml:space="preserve">maximum annual increase </w:t>
            </w:r>
            <w:r w:rsidR="00F361A9">
              <w:rPr>
                <w:b w:val="0"/>
                <w:bCs/>
              </w:rPr>
              <w:t xml:space="preserve">for tuition and mandatory fees </w:t>
            </w:r>
            <w:r>
              <w:rPr>
                <w:b w:val="0"/>
                <w:bCs/>
              </w:rPr>
              <w:lastRenderedPageBreak/>
              <w:t>for Minnesota undergraduate resident students at colleges at two percent and at universities at four percent.</w:t>
            </w:r>
          </w:p>
        </w:tc>
      </w:tr>
      <w:tr w:rsidR="00705A4F">
        <w:tc>
          <w:tcPr>
            <w:tcW w:w="1195" w:type="dxa"/>
            <w:tcMar>
              <w:right w:w="43" w:type="dxa"/>
            </w:tcMar>
          </w:tcPr>
          <w:p w:rsidR="00705A4F" w:rsidRDefault="00705A4F">
            <w:pPr>
              <w:pStyle w:val="Sectionnumber"/>
            </w:pPr>
          </w:p>
        </w:tc>
        <w:tc>
          <w:tcPr>
            <w:tcW w:w="9101" w:type="dxa"/>
          </w:tcPr>
          <w:p w:rsidR="00491393" w:rsidRDefault="00491393" w:rsidP="00491393">
            <w:pPr>
              <w:pStyle w:val="Sectionnumber"/>
              <w:numPr>
                <w:ilvl w:val="0"/>
                <w:numId w:val="0"/>
              </w:numPr>
              <w:rPr>
                <w:b w:val="0"/>
                <w:bCs/>
              </w:rPr>
            </w:pPr>
            <w:r>
              <w:rPr>
                <w:bCs/>
              </w:rPr>
              <w:t xml:space="preserve">Board of </w:t>
            </w:r>
            <w:r w:rsidR="0090041D">
              <w:rPr>
                <w:bCs/>
              </w:rPr>
              <w:t>R</w:t>
            </w:r>
            <w:r>
              <w:rPr>
                <w:bCs/>
              </w:rPr>
              <w:t xml:space="preserve">egents of the University of Minnesota. </w:t>
            </w:r>
            <w:r>
              <w:rPr>
                <w:b w:val="0"/>
                <w:bCs/>
              </w:rPr>
              <w:t>Appropriates $529.7 million each fiscal year including $527.54</w:t>
            </w:r>
            <w:r w:rsidR="00790FF5">
              <w:rPr>
                <w:b w:val="0"/>
                <w:bCs/>
              </w:rPr>
              <w:t>3</w:t>
            </w:r>
            <w:r>
              <w:rPr>
                <w:b w:val="0"/>
                <w:bCs/>
              </w:rPr>
              <w:t xml:space="preserve"> million each year from the general fund and $2.157 million from the health care access fund, as described below.</w:t>
            </w:r>
          </w:p>
          <w:p w:rsidR="00491393" w:rsidRDefault="00507975" w:rsidP="00491393">
            <w:pPr>
              <w:pStyle w:val="Sectionnumber"/>
              <w:numPr>
                <w:ilvl w:val="0"/>
                <w:numId w:val="29"/>
              </w:numPr>
              <w:rPr>
                <w:b w:val="0"/>
                <w:bCs/>
              </w:rPr>
            </w:pPr>
            <w:r w:rsidRPr="00DA5E90">
              <w:rPr>
                <w:bCs/>
              </w:rPr>
              <w:t xml:space="preserve">Operations and maintenance </w:t>
            </w:r>
            <w:r w:rsidRPr="00DA5E90">
              <w:rPr>
                <w:b w:val="0"/>
                <w:bCs/>
              </w:rPr>
              <w:t>at $465.675 million each year.  One percent of the appropriation is contingent on meeting three of following five goals: (1) increase institutional financial aid; (2) produce at least 13,500 degrees (3) increase four- and six-year graduation rates on the Twin Cities campus; (4)</w:t>
            </w:r>
            <w:r w:rsidRPr="00DA5E90">
              <w:rPr>
                <w:bCs/>
              </w:rPr>
              <w:t xml:space="preserve"> </w:t>
            </w:r>
            <w:r w:rsidRPr="00DA5E90">
              <w:rPr>
                <w:b w:val="0"/>
                <w:bCs/>
              </w:rPr>
              <w:t xml:space="preserve">maintain </w:t>
            </w:r>
            <w:r>
              <w:rPr>
                <w:b w:val="0"/>
                <w:bCs/>
              </w:rPr>
              <w:t xml:space="preserve">research and development expenditures as reported to the </w:t>
            </w:r>
            <w:r w:rsidRPr="00DA5E90">
              <w:rPr>
                <w:b w:val="0"/>
                <w:bCs/>
              </w:rPr>
              <w:t xml:space="preserve"> National Science Foundation; (3) increase degrees awarded in science, technology, engineering, and math; (4) increase financial support for renewable energy research; and (5) increase research and interactions that benefit business. A report on the measures must be made to the legislature</w:t>
            </w:r>
            <w:r>
              <w:rPr>
                <w:b w:val="0"/>
                <w:bCs/>
              </w:rPr>
              <w:t xml:space="preserve"> by April 1, 2012</w:t>
            </w:r>
            <w:r w:rsidR="00491393">
              <w:rPr>
                <w:b w:val="0"/>
                <w:bCs/>
              </w:rPr>
              <w:t>.</w:t>
            </w:r>
          </w:p>
          <w:p w:rsidR="00705A4F" w:rsidRPr="00F63F4C" w:rsidRDefault="00F63F4C" w:rsidP="00F63F4C">
            <w:pPr>
              <w:pStyle w:val="Sectionnumber"/>
              <w:numPr>
                <w:ilvl w:val="0"/>
                <w:numId w:val="29"/>
              </w:numPr>
              <w:rPr>
                <w:bCs/>
              </w:rPr>
            </w:pPr>
            <w:r w:rsidRPr="00491393">
              <w:rPr>
                <w:bCs/>
              </w:rPr>
              <w:t xml:space="preserve">Education priorities </w:t>
            </w:r>
            <w:r w:rsidRPr="00491393">
              <w:rPr>
                <w:b w:val="0"/>
                <w:bCs/>
              </w:rPr>
              <w:t xml:space="preserve">requires </w:t>
            </w:r>
            <w:r>
              <w:rPr>
                <w:b w:val="0"/>
                <w:bCs/>
              </w:rPr>
              <w:t xml:space="preserve">the </w:t>
            </w:r>
            <w:r w:rsidR="0090041D">
              <w:rPr>
                <w:b w:val="0"/>
                <w:bCs/>
              </w:rPr>
              <w:t>B</w:t>
            </w:r>
            <w:r w:rsidRPr="00491393">
              <w:rPr>
                <w:b w:val="0"/>
                <w:bCs/>
              </w:rPr>
              <w:t>oard</w:t>
            </w:r>
            <w:r>
              <w:rPr>
                <w:b w:val="0"/>
                <w:bCs/>
              </w:rPr>
              <w:t xml:space="preserve"> of </w:t>
            </w:r>
            <w:r w:rsidR="0090041D">
              <w:rPr>
                <w:b w:val="0"/>
                <w:bCs/>
              </w:rPr>
              <w:t>R</w:t>
            </w:r>
            <w:r>
              <w:rPr>
                <w:b w:val="0"/>
                <w:bCs/>
              </w:rPr>
              <w:t>egents, i</w:t>
            </w:r>
            <w:r w:rsidRPr="00491393">
              <w:rPr>
                <w:b w:val="0"/>
                <w:bCs/>
              </w:rPr>
              <w:t xml:space="preserve">n carrying out its </w:t>
            </w:r>
            <w:r>
              <w:rPr>
                <w:b w:val="0"/>
                <w:bCs/>
              </w:rPr>
              <w:t xml:space="preserve">governing </w:t>
            </w:r>
            <w:r w:rsidRPr="00491393">
              <w:rPr>
                <w:b w:val="0"/>
                <w:bCs/>
              </w:rPr>
              <w:t xml:space="preserve">responsibilities, </w:t>
            </w:r>
            <w:r>
              <w:rPr>
                <w:b w:val="0"/>
                <w:bCs/>
              </w:rPr>
              <w:t>to</w:t>
            </w:r>
            <w:r w:rsidRPr="00491393">
              <w:rPr>
                <w:b w:val="0"/>
                <w:bCs/>
              </w:rPr>
              <w:t xml:space="preserve"> place priority on meeting th</w:t>
            </w:r>
            <w:r w:rsidR="00691F8C">
              <w:rPr>
                <w:b w:val="0"/>
                <w:bCs/>
              </w:rPr>
              <w:t xml:space="preserve">e needs of Minnesota employers </w:t>
            </w:r>
            <w:r w:rsidRPr="00491393">
              <w:rPr>
                <w:b w:val="0"/>
                <w:bCs/>
              </w:rPr>
              <w:t>for skilled workers and focus on efficient and</w:t>
            </w:r>
            <w:r>
              <w:rPr>
                <w:b w:val="0"/>
                <w:bCs/>
              </w:rPr>
              <w:t xml:space="preserve"> </w:t>
            </w:r>
            <w:r w:rsidRPr="00491393">
              <w:rPr>
                <w:b w:val="0"/>
                <w:bCs/>
              </w:rPr>
              <w:t xml:space="preserve">streamlined delivery of higher education to prepare students </w:t>
            </w:r>
            <w:r>
              <w:rPr>
                <w:b w:val="0"/>
                <w:bCs/>
              </w:rPr>
              <w:t xml:space="preserve">for </w:t>
            </w:r>
            <w:r w:rsidRPr="00491393">
              <w:rPr>
                <w:b w:val="0"/>
                <w:bCs/>
              </w:rPr>
              <w:t>the workforce needs</w:t>
            </w:r>
            <w:r>
              <w:rPr>
                <w:b w:val="0"/>
                <w:bCs/>
              </w:rPr>
              <w:t xml:space="preserve"> of Minnesota</w:t>
            </w:r>
            <w:r w:rsidRPr="00491393">
              <w:rPr>
                <w:b w:val="0"/>
                <w:bCs/>
              </w:rPr>
              <w:t>.</w:t>
            </w:r>
          </w:p>
          <w:p w:rsidR="00F63F4C" w:rsidRPr="00F63F4C" w:rsidRDefault="00F63F4C" w:rsidP="00F63F4C">
            <w:pPr>
              <w:pStyle w:val="Sectionnumber"/>
              <w:numPr>
                <w:ilvl w:val="0"/>
                <w:numId w:val="29"/>
              </w:numPr>
              <w:rPr>
                <w:bCs/>
              </w:rPr>
            </w:pPr>
            <w:r>
              <w:rPr>
                <w:bCs/>
              </w:rPr>
              <w:t xml:space="preserve">Tuition maximums </w:t>
            </w:r>
            <w:r w:rsidRPr="00491393">
              <w:rPr>
                <w:b w:val="0"/>
                <w:bCs/>
              </w:rPr>
              <w:t>set the</w:t>
            </w:r>
            <w:r>
              <w:rPr>
                <w:bCs/>
              </w:rPr>
              <w:t xml:space="preserve"> </w:t>
            </w:r>
            <w:r w:rsidRPr="00F63F4C">
              <w:rPr>
                <w:b w:val="0"/>
                <w:bCs/>
              </w:rPr>
              <w:t>expectation that</w:t>
            </w:r>
            <w:r>
              <w:rPr>
                <w:bCs/>
              </w:rPr>
              <w:t xml:space="preserve"> </w:t>
            </w:r>
            <w:r w:rsidRPr="00F63F4C">
              <w:rPr>
                <w:b w:val="0"/>
                <w:bCs/>
              </w:rPr>
              <w:t>tuition revenue will increase by a maximum of $76.3 million over the biennium.</w:t>
            </w:r>
          </w:p>
          <w:p w:rsidR="00F63F4C" w:rsidRPr="00F63F4C" w:rsidRDefault="00F63F4C" w:rsidP="00F63F4C">
            <w:pPr>
              <w:pStyle w:val="Sectionnumber"/>
              <w:numPr>
                <w:ilvl w:val="0"/>
                <w:numId w:val="29"/>
              </w:numPr>
              <w:rPr>
                <w:bCs/>
              </w:rPr>
            </w:pPr>
            <w:r>
              <w:rPr>
                <w:bCs/>
              </w:rPr>
              <w:t xml:space="preserve">Primary care education initiative </w:t>
            </w:r>
            <w:r>
              <w:rPr>
                <w:b w:val="0"/>
                <w:bCs/>
              </w:rPr>
              <w:t>at $2.157 million each year from the health care access fund.</w:t>
            </w:r>
          </w:p>
          <w:p w:rsidR="00F63F4C" w:rsidRPr="00BF29E1" w:rsidRDefault="00BF29E1" w:rsidP="00F63F4C">
            <w:pPr>
              <w:pStyle w:val="Sectionnumber"/>
              <w:numPr>
                <w:ilvl w:val="0"/>
                <w:numId w:val="29"/>
              </w:numPr>
              <w:rPr>
                <w:bCs/>
              </w:rPr>
            </w:pPr>
            <w:r>
              <w:rPr>
                <w:bCs/>
              </w:rPr>
              <w:t>Special appropriations</w:t>
            </w:r>
            <w:r>
              <w:rPr>
                <w:b w:val="0"/>
                <w:bCs/>
              </w:rPr>
              <w:t xml:space="preserve"> provide the following funding from the general fund:</w:t>
            </w:r>
          </w:p>
          <w:p w:rsidR="00BF29E1" w:rsidRPr="00BF29E1" w:rsidRDefault="00BF29E1" w:rsidP="00BF29E1">
            <w:pPr>
              <w:pStyle w:val="Sectionnumber"/>
              <w:numPr>
                <w:ilvl w:val="0"/>
                <w:numId w:val="35"/>
              </w:numPr>
              <w:rPr>
                <w:bCs/>
              </w:rPr>
            </w:pPr>
            <w:r>
              <w:rPr>
                <w:bCs/>
              </w:rPr>
              <w:t xml:space="preserve">Agriculture and extension service </w:t>
            </w:r>
            <w:r>
              <w:rPr>
                <w:b w:val="0"/>
                <w:bCs/>
              </w:rPr>
              <w:t>at $42.4 million each year.</w:t>
            </w:r>
          </w:p>
          <w:p w:rsidR="00BF29E1" w:rsidRPr="005B3767" w:rsidRDefault="00BF29E1" w:rsidP="00BF29E1">
            <w:pPr>
              <w:pStyle w:val="Sectionnumber"/>
              <w:numPr>
                <w:ilvl w:val="0"/>
                <w:numId w:val="35"/>
              </w:numPr>
              <w:rPr>
                <w:bCs/>
              </w:rPr>
            </w:pPr>
            <w:r>
              <w:rPr>
                <w:bCs/>
              </w:rPr>
              <w:t xml:space="preserve">Health sciences </w:t>
            </w:r>
            <w:r>
              <w:rPr>
                <w:b w:val="0"/>
                <w:bCs/>
              </w:rPr>
              <w:t xml:space="preserve">at $5.3 million each year </w:t>
            </w:r>
            <w:r w:rsidR="005B3767">
              <w:rPr>
                <w:b w:val="0"/>
                <w:bCs/>
              </w:rPr>
              <w:t>with $346,000 each year for 12 residents in the St. Cloud Hospital family practice residency program and remainder for other named purposes.</w:t>
            </w:r>
          </w:p>
          <w:p w:rsidR="005B3767" w:rsidRPr="005B3767" w:rsidRDefault="005B3767" w:rsidP="00BF29E1">
            <w:pPr>
              <w:pStyle w:val="Sectionnumber"/>
              <w:numPr>
                <w:ilvl w:val="0"/>
                <w:numId w:val="35"/>
              </w:numPr>
              <w:rPr>
                <w:bCs/>
              </w:rPr>
            </w:pPr>
            <w:r>
              <w:rPr>
                <w:bCs/>
              </w:rPr>
              <w:t xml:space="preserve">Institute of technology </w:t>
            </w:r>
            <w:r>
              <w:rPr>
                <w:b w:val="0"/>
                <w:bCs/>
              </w:rPr>
              <w:t>at $1.1 million each year for the geological survey and talented youth math program.</w:t>
            </w:r>
          </w:p>
          <w:p w:rsidR="005B3767" w:rsidRPr="005B3767" w:rsidRDefault="005B3767" w:rsidP="00BF29E1">
            <w:pPr>
              <w:pStyle w:val="Sectionnumber"/>
              <w:numPr>
                <w:ilvl w:val="0"/>
                <w:numId w:val="35"/>
              </w:numPr>
              <w:rPr>
                <w:bCs/>
              </w:rPr>
            </w:pPr>
            <w:r>
              <w:rPr>
                <w:bCs/>
              </w:rPr>
              <w:t xml:space="preserve">System special </w:t>
            </w:r>
            <w:r>
              <w:rPr>
                <w:b w:val="0"/>
                <w:bCs/>
              </w:rPr>
              <w:t>at $4.997 million each year for named purposes.</w:t>
            </w:r>
          </w:p>
          <w:p w:rsidR="005B3767" w:rsidRPr="00790FF5" w:rsidRDefault="005B3767" w:rsidP="00BF29E1">
            <w:pPr>
              <w:pStyle w:val="Sectionnumber"/>
              <w:numPr>
                <w:ilvl w:val="0"/>
                <w:numId w:val="35"/>
              </w:numPr>
              <w:rPr>
                <w:bCs/>
              </w:rPr>
            </w:pPr>
            <w:r>
              <w:rPr>
                <w:bCs/>
              </w:rPr>
              <w:t xml:space="preserve">University and Mayo partnership </w:t>
            </w:r>
            <w:r>
              <w:rPr>
                <w:b w:val="0"/>
                <w:bCs/>
              </w:rPr>
              <w:t>at $8 million each year, available until expended, for research in biotechnology and medical genomics</w:t>
            </w:r>
            <w:r w:rsidR="0034584D">
              <w:rPr>
                <w:b w:val="0"/>
                <w:bCs/>
              </w:rPr>
              <w:t>.</w:t>
            </w:r>
            <w:r>
              <w:rPr>
                <w:b w:val="0"/>
                <w:bCs/>
              </w:rPr>
              <w:t xml:space="preserve"> </w:t>
            </w:r>
            <w:r w:rsidR="00F11DF4">
              <w:rPr>
                <w:b w:val="0"/>
                <w:bCs/>
              </w:rPr>
              <w:br/>
            </w:r>
          </w:p>
          <w:p w:rsidR="00790FF5" w:rsidRDefault="00790FF5" w:rsidP="00790FF5">
            <w:pPr>
              <w:pStyle w:val="Sectionnumber"/>
              <w:numPr>
                <w:ilvl w:val="0"/>
                <w:numId w:val="29"/>
              </w:numPr>
              <w:rPr>
                <w:bCs/>
              </w:rPr>
            </w:pPr>
            <w:r>
              <w:rPr>
                <w:bCs/>
              </w:rPr>
              <w:t xml:space="preserve">Academic Health Center </w:t>
            </w:r>
            <w:r w:rsidRPr="00790FF5">
              <w:rPr>
                <w:b w:val="0"/>
                <w:bCs/>
              </w:rPr>
              <w:t>is estimated to receive</w:t>
            </w:r>
            <w:r>
              <w:rPr>
                <w:b w:val="0"/>
                <w:bCs/>
              </w:rPr>
              <w:t xml:space="preserve"> $22.3 million each year from the dedication of a portion of cigarette taxes.</w:t>
            </w:r>
            <w:r>
              <w:rPr>
                <w:bCs/>
              </w:rPr>
              <w:t xml:space="preserve"> </w:t>
            </w:r>
          </w:p>
        </w:tc>
      </w:tr>
      <w:tr w:rsidR="00F63F4C">
        <w:tc>
          <w:tcPr>
            <w:tcW w:w="1195" w:type="dxa"/>
            <w:tcMar>
              <w:right w:w="43" w:type="dxa"/>
            </w:tcMar>
          </w:tcPr>
          <w:p w:rsidR="00F63F4C" w:rsidRDefault="00F63F4C">
            <w:pPr>
              <w:pStyle w:val="Sectionnumber"/>
            </w:pPr>
          </w:p>
        </w:tc>
        <w:tc>
          <w:tcPr>
            <w:tcW w:w="9101" w:type="dxa"/>
          </w:tcPr>
          <w:p w:rsidR="004A6DD2" w:rsidRDefault="004A6DD2" w:rsidP="004A6DD2">
            <w:pPr>
              <w:pStyle w:val="Sectionnumber"/>
              <w:numPr>
                <w:ilvl w:val="0"/>
                <w:numId w:val="0"/>
              </w:numPr>
              <w:rPr>
                <w:b w:val="0"/>
                <w:bCs/>
              </w:rPr>
            </w:pPr>
            <w:r>
              <w:rPr>
                <w:bCs/>
              </w:rPr>
              <w:t xml:space="preserve">Mayo medical foundation. </w:t>
            </w:r>
            <w:r>
              <w:rPr>
                <w:b w:val="0"/>
                <w:bCs/>
              </w:rPr>
              <w:t>Appropriates $1.351 million each fiscal year as described below.</w:t>
            </w:r>
          </w:p>
          <w:p w:rsidR="004A6DD2" w:rsidRPr="004A6DD2" w:rsidRDefault="004A6DD2" w:rsidP="004A6DD2">
            <w:pPr>
              <w:pStyle w:val="Sectionnumber"/>
              <w:numPr>
                <w:ilvl w:val="0"/>
                <w:numId w:val="29"/>
              </w:numPr>
              <w:rPr>
                <w:bCs/>
              </w:rPr>
            </w:pPr>
            <w:r>
              <w:rPr>
                <w:bCs/>
              </w:rPr>
              <w:lastRenderedPageBreak/>
              <w:t xml:space="preserve">Medical school </w:t>
            </w:r>
            <w:r>
              <w:rPr>
                <w:b w:val="0"/>
                <w:bCs/>
              </w:rPr>
              <w:t xml:space="preserve">at $665,000 each year, with authority to transfer between years, for a capitation for Minnesota resident students to increase the number of rural doctors. </w:t>
            </w:r>
          </w:p>
          <w:p w:rsidR="00F63F4C" w:rsidRDefault="004A6DD2" w:rsidP="004A6DD2">
            <w:pPr>
              <w:pStyle w:val="Sectionnumber"/>
              <w:numPr>
                <w:ilvl w:val="0"/>
                <w:numId w:val="29"/>
              </w:numPr>
              <w:rPr>
                <w:bCs/>
              </w:rPr>
            </w:pPr>
            <w:r>
              <w:rPr>
                <w:bCs/>
              </w:rPr>
              <w:t xml:space="preserve">Family practice and graduate residency program </w:t>
            </w:r>
            <w:r>
              <w:rPr>
                <w:b w:val="0"/>
                <w:bCs/>
              </w:rPr>
              <w:t>at $686,000 for a stipend support for up to 27 residents each year.</w:t>
            </w:r>
          </w:p>
        </w:tc>
      </w:tr>
    </w:tbl>
    <w:p w:rsidR="00F268BE" w:rsidRDefault="00F268BE" w:rsidP="004A6DD2">
      <w:pPr>
        <w:pStyle w:val="Sectionnumber"/>
        <w:sectPr w:rsidR="00F268BE" w:rsidSect="00A97652">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tblPr>
      <w:tblGrid>
        <w:gridCol w:w="1195"/>
        <w:gridCol w:w="9101"/>
      </w:tblGrid>
      <w:tr w:rsidR="00F268BE" w:rsidTr="00F268BE">
        <w:tc>
          <w:tcPr>
            <w:tcW w:w="10296" w:type="dxa"/>
            <w:gridSpan w:val="2"/>
            <w:tcMar>
              <w:top w:w="288" w:type="dxa"/>
              <w:bottom w:w="115" w:type="dxa"/>
              <w:right w:w="43" w:type="dxa"/>
            </w:tcMar>
          </w:tcPr>
          <w:p w:rsidR="00F268BE" w:rsidRPr="00F268BE" w:rsidRDefault="00F268BE" w:rsidP="00F268BE">
            <w:pPr>
              <w:pStyle w:val="Heading1"/>
            </w:pPr>
            <w:r>
              <w:lastRenderedPageBreak/>
              <w:t xml:space="preserve">Article 2: </w:t>
            </w:r>
            <w:r>
              <w:rPr>
                <w:bCs/>
              </w:rPr>
              <w:t>Related Higher Education Provisions</w:t>
            </w:r>
          </w:p>
        </w:tc>
      </w:tr>
      <w:tr w:rsidR="003049A4" w:rsidTr="003049A4">
        <w:tc>
          <w:tcPr>
            <w:tcW w:w="1195" w:type="dxa"/>
            <w:tcMar>
              <w:right w:w="43" w:type="dxa"/>
            </w:tcMar>
          </w:tcPr>
          <w:p w:rsidR="003049A4" w:rsidRDefault="003049A4" w:rsidP="00507975">
            <w:pPr>
              <w:pStyle w:val="Sectionnumber"/>
              <w:numPr>
                <w:ilvl w:val="0"/>
                <w:numId w:val="49"/>
              </w:numPr>
            </w:pPr>
          </w:p>
        </w:tc>
        <w:tc>
          <w:tcPr>
            <w:tcW w:w="9101" w:type="dxa"/>
          </w:tcPr>
          <w:p w:rsidR="003049A4" w:rsidRPr="003049A4" w:rsidRDefault="003049A4" w:rsidP="003F015A">
            <w:pPr>
              <w:pStyle w:val="Sectionnumber"/>
              <w:numPr>
                <w:ilvl w:val="0"/>
                <w:numId w:val="0"/>
              </w:numPr>
              <w:rPr>
                <w:b w:val="0"/>
                <w:bCs/>
              </w:rPr>
            </w:pPr>
            <w:r>
              <w:rPr>
                <w:bCs/>
              </w:rPr>
              <w:t xml:space="preserve">Senior citizen; eligibility. </w:t>
            </w:r>
            <w:r>
              <w:rPr>
                <w:b w:val="0"/>
                <w:bCs/>
              </w:rPr>
              <w:t>Sets the age of eligibility for the senior citizen higher education program at 62 years, reversing the 2010 change in law to increase the age of eligibility to 65</w:t>
            </w:r>
            <w:r w:rsidR="003F015A">
              <w:rPr>
                <w:b w:val="0"/>
                <w:bCs/>
              </w:rPr>
              <w:t>.  T</w:t>
            </w:r>
            <w:r>
              <w:rPr>
                <w:b w:val="0"/>
                <w:bCs/>
              </w:rPr>
              <w:t>he program provides a tuition benefit to seniors who enroll at public postsecondary institutions on a space-available basis.</w:t>
            </w:r>
          </w:p>
        </w:tc>
      </w:tr>
      <w:tr w:rsidR="003049A4" w:rsidTr="003049A4">
        <w:tc>
          <w:tcPr>
            <w:tcW w:w="1195" w:type="dxa"/>
            <w:tcMar>
              <w:right w:w="43" w:type="dxa"/>
            </w:tcMar>
          </w:tcPr>
          <w:p w:rsidR="003049A4" w:rsidRDefault="003049A4" w:rsidP="003049A4">
            <w:pPr>
              <w:pStyle w:val="Sectionnumber"/>
            </w:pPr>
          </w:p>
        </w:tc>
        <w:tc>
          <w:tcPr>
            <w:tcW w:w="9101" w:type="dxa"/>
          </w:tcPr>
          <w:p w:rsidR="003049A4" w:rsidRDefault="003049A4" w:rsidP="003049A4">
            <w:pPr>
              <w:pStyle w:val="Sectionnumber"/>
              <w:numPr>
                <w:ilvl w:val="0"/>
                <w:numId w:val="0"/>
              </w:numPr>
              <w:rPr>
                <w:bCs/>
              </w:rPr>
            </w:pPr>
            <w:r>
              <w:rPr>
                <w:bCs/>
              </w:rPr>
              <w:t xml:space="preserve">Student records and data. </w:t>
            </w:r>
            <w:r w:rsidR="00101D2B" w:rsidRPr="00101D2B">
              <w:rPr>
                <w:b w:val="0"/>
                <w:bCs/>
              </w:rPr>
              <w:t xml:space="preserve">Exempts </w:t>
            </w:r>
            <w:r w:rsidR="00101D2B">
              <w:rPr>
                <w:b w:val="0"/>
                <w:bCs/>
              </w:rPr>
              <w:t>postsecondary institutions that provide student data to the Office of Higher Education, the Department of Education</w:t>
            </w:r>
            <w:r w:rsidR="00F11DF4">
              <w:rPr>
                <w:b w:val="0"/>
                <w:bCs/>
              </w:rPr>
              <w:t>,</w:t>
            </w:r>
            <w:r w:rsidR="00101D2B">
              <w:rPr>
                <w:b w:val="0"/>
                <w:bCs/>
              </w:rPr>
              <w:t xml:space="preserve"> or other state agencies from liability related to the use, destruction</w:t>
            </w:r>
            <w:r w:rsidR="00F11DF4">
              <w:rPr>
                <w:b w:val="0"/>
                <w:bCs/>
              </w:rPr>
              <w:t>,</w:t>
            </w:r>
            <w:r w:rsidR="00101D2B">
              <w:rPr>
                <w:b w:val="0"/>
                <w:bCs/>
              </w:rPr>
              <w:t xml:space="preserve"> or disclosure of the data by any of the public agencies or individuals having access to the data.</w:t>
            </w:r>
          </w:p>
        </w:tc>
      </w:tr>
      <w:tr w:rsidR="003049A4" w:rsidTr="003049A4">
        <w:tc>
          <w:tcPr>
            <w:tcW w:w="1195" w:type="dxa"/>
            <w:tcMar>
              <w:right w:w="43" w:type="dxa"/>
            </w:tcMar>
          </w:tcPr>
          <w:p w:rsidR="003049A4" w:rsidRDefault="003049A4" w:rsidP="003049A4">
            <w:pPr>
              <w:pStyle w:val="Sectionnumber"/>
            </w:pPr>
          </w:p>
        </w:tc>
        <w:tc>
          <w:tcPr>
            <w:tcW w:w="9101" w:type="dxa"/>
          </w:tcPr>
          <w:p w:rsidR="003049A4" w:rsidRPr="00101D2B" w:rsidRDefault="00101D2B" w:rsidP="003F015A">
            <w:pPr>
              <w:pStyle w:val="Sectionnumber"/>
              <w:numPr>
                <w:ilvl w:val="0"/>
                <w:numId w:val="0"/>
              </w:numPr>
              <w:rPr>
                <w:b w:val="0"/>
                <w:bCs/>
              </w:rPr>
            </w:pPr>
            <w:r>
              <w:rPr>
                <w:bCs/>
              </w:rPr>
              <w:t xml:space="preserve">Cost of attendance.  </w:t>
            </w:r>
            <w:r>
              <w:rPr>
                <w:b w:val="0"/>
                <w:bCs/>
              </w:rPr>
              <w:t>Sets a statutory amount for the tuition and fee maximum used to calculate the state grant a</w:t>
            </w:r>
            <w:r w:rsidR="003E7D4F">
              <w:rPr>
                <w:b w:val="0"/>
                <w:bCs/>
              </w:rPr>
              <w:t>ward.  The statutory maximum is</w:t>
            </w:r>
            <w:r>
              <w:rPr>
                <w:b w:val="0"/>
                <w:bCs/>
              </w:rPr>
              <w:t xml:space="preserve"> the highest tuition and fee amount charged by a public two-year institution for two-year programs </w:t>
            </w:r>
            <w:r w:rsidR="003E7D4F">
              <w:rPr>
                <w:b w:val="0"/>
                <w:bCs/>
              </w:rPr>
              <w:t xml:space="preserve">and the highest amount charged by </w:t>
            </w:r>
            <w:r>
              <w:rPr>
                <w:b w:val="0"/>
                <w:bCs/>
              </w:rPr>
              <w:t>a public four-year institution for four-year programs.</w:t>
            </w:r>
            <w:r w:rsidR="003F015A">
              <w:rPr>
                <w:b w:val="0"/>
                <w:bCs/>
              </w:rPr>
              <w:t xml:space="preserve">  As under current law, an amount can be set in law to </w:t>
            </w:r>
            <w:r w:rsidR="00F361A9">
              <w:rPr>
                <w:b w:val="0"/>
                <w:bCs/>
              </w:rPr>
              <w:t>supersede</w:t>
            </w:r>
            <w:r w:rsidR="003F015A">
              <w:rPr>
                <w:b w:val="0"/>
                <w:bCs/>
              </w:rPr>
              <w:t xml:space="preserve"> the statutory maximum.</w:t>
            </w:r>
          </w:p>
        </w:tc>
      </w:tr>
      <w:tr w:rsidR="003049A4" w:rsidTr="003049A4">
        <w:tc>
          <w:tcPr>
            <w:tcW w:w="1195" w:type="dxa"/>
            <w:tcMar>
              <w:right w:w="43" w:type="dxa"/>
            </w:tcMar>
          </w:tcPr>
          <w:p w:rsidR="003049A4" w:rsidRDefault="003049A4" w:rsidP="003049A4">
            <w:pPr>
              <w:pStyle w:val="Sectionnumber"/>
            </w:pPr>
          </w:p>
        </w:tc>
        <w:tc>
          <w:tcPr>
            <w:tcW w:w="9101" w:type="dxa"/>
          </w:tcPr>
          <w:p w:rsidR="003049A4" w:rsidRPr="003E7D4F" w:rsidRDefault="003E7D4F" w:rsidP="003F015A">
            <w:pPr>
              <w:pStyle w:val="Sectionnumber"/>
              <w:numPr>
                <w:ilvl w:val="0"/>
                <w:numId w:val="0"/>
              </w:numPr>
              <w:rPr>
                <w:b w:val="0"/>
                <w:bCs/>
              </w:rPr>
            </w:pPr>
            <w:r>
              <w:rPr>
                <w:bCs/>
              </w:rPr>
              <w:t xml:space="preserve">Undergraduate tuition guarantee plan; MnSCU.  </w:t>
            </w:r>
            <w:r>
              <w:rPr>
                <w:b w:val="0"/>
                <w:bCs/>
              </w:rPr>
              <w:t>Encourages the board of trustees to offer a tuition plan for Minnesota resident students pursuing two-year and four-year degrees that holds tuition constant at the rate charged in the first semester.  The plan must have stable tu</w:t>
            </w:r>
            <w:r w:rsidR="00F11DF4">
              <w:rPr>
                <w:b w:val="0"/>
                <w:bCs/>
              </w:rPr>
              <w:t xml:space="preserve">ition for the two years or four </w:t>
            </w:r>
            <w:r>
              <w:rPr>
                <w:b w:val="0"/>
                <w:bCs/>
              </w:rPr>
              <w:t xml:space="preserve">years that are necessary to complete the degree, after which tuition may increase to the rate charged new enrolling students. </w:t>
            </w:r>
          </w:p>
        </w:tc>
      </w:tr>
      <w:tr w:rsidR="003049A4" w:rsidTr="003049A4">
        <w:tc>
          <w:tcPr>
            <w:tcW w:w="1195" w:type="dxa"/>
            <w:tcMar>
              <w:right w:w="43" w:type="dxa"/>
            </w:tcMar>
          </w:tcPr>
          <w:p w:rsidR="003049A4" w:rsidRDefault="003E7D4F" w:rsidP="002070B2">
            <w:pPr>
              <w:pStyle w:val="Sectionnumber"/>
              <w:tabs>
                <w:tab w:val="clear" w:pos="360"/>
                <w:tab w:val="num" w:pos="180"/>
              </w:tabs>
            </w:pPr>
            <w:r>
              <w:t>- 1</w:t>
            </w:r>
            <w:r w:rsidR="00507975">
              <w:t>1</w:t>
            </w:r>
          </w:p>
        </w:tc>
        <w:tc>
          <w:tcPr>
            <w:tcW w:w="9101" w:type="dxa"/>
          </w:tcPr>
          <w:p w:rsidR="003049A4" w:rsidRPr="003E7D4F" w:rsidRDefault="003E7D4F" w:rsidP="003F015A">
            <w:pPr>
              <w:pStyle w:val="Sectionnumber"/>
              <w:numPr>
                <w:ilvl w:val="0"/>
                <w:numId w:val="0"/>
              </w:numPr>
              <w:rPr>
                <w:b w:val="0"/>
                <w:bCs/>
              </w:rPr>
            </w:pPr>
            <w:r>
              <w:rPr>
                <w:bCs/>
              </w:rPr>
              <w:t xml:space="preserve">Minnesota college savings plan matching grant.  </w:t>
            </w:r>
            <w:r>
              <w:rPr>
                <w:b w:val="0"/>
                <w:bCs/>
              </w:rPr>
              <w:t xml:space="preserve">Eliminates the statutory </w:t>
            </w:r>
            <w:r w:rsidR="00F361A9">
              <w:rPr>
                <w:b w:val="0"/>
                <w:bCs/>
              </w:rPr>
              <w:t>requirements that provide</w:t>
            </w:r>
            <w:r>
              <w:rPr>
                <w:b w:val="0"/>
                <w:bCs/>
              </w:rPr>
              <w:t xml:space="preserve"> a state-funded mat</w:t>
            </w:r>
            <w:r w:rsidR="00691F8C">
              <w:rPr>
                <w:b w:val="0"/>
                <w:bCs/>
              </w:rPr>
              <w:t>ching grant for low- and middle-</w:t>
            </w:r>
            <w:r>
              <w:rPr>
                <w:b w:val="0"/>
                <w:bCs/>
              </w:rPr>
              <w:t>income families who participate in the Minnesota college savings plan established under section 529 of the Internal Revenue Code.</w:t>
            </w:r>
            <w:r w:rsidR="00222B03">
              <w:rPr>
                <w:b w:val="0"/>
                <w:bCs/>
              </w:rPr>
              <w:t xml:space="preserve">  </w:t>
            </w:r>
            <w:r w:rsidR="003F015A">
              <w:rPr>
                <w:b w:val="0"/>
                <w:bCs/>
              </w:rPr>
              <w:t>S</w:t>
            </w:r>
            <w:r w:rsidR="00222B03">
              <w:rPr>
                <w:b w:val="0"/>
                <w:bCs/>
              </w:rPr>
              <w:t xml:space="preserve">ections </w:t>
            </w:r>
            <w:r w:rsidR="003F015A">
              <w:rPr>
                <w:b w:val="0"/>
                <w:bCs/>
              </w:rPr>
              <w:t xml:space="preserve">6 to 12 </w:t>
            </w:r>
            <w:r w:rsidR="00222B03">
              <w:rPr>
                <w:b w:val="0"/>
                <w:bCs/>
              </w:rPr>
              <w:t>are effective July 1, 2012.</w:t>
            </w:r>
          </w:p>
        </w:tc>
      </w:tr>
      <w:tr w:rsidR="00222B03" w:rsidTr="00F11DF4">
        <w:trPr>
          <w:cantSplit/>
        </w:trPr>
        <w:tc>
          <w:tcPr>
            <w:tcW w:w="1195" w:type="dxa"/>
            <w:tcMar>
              <w:right w:w="43" w:type="dxa"/>
            </w:tcMar>
          </w:tcPr>
          <w:p w:rsidR="00222B03" w:rsidRDefault="00222B03" w:rsidP="00507975">
            <w:pPr>
              <w:pStyle w:val="Sectionnumber"/>
              <w:numPr>
                <w:ilvl w:val="0"/>
                <w:numId w:val="50"/>
              </w:numPr>
            </w:pPr>
          </w:p>
        </w:tc>
        <w:tc>
          <w:tcPr>
            <w:tcW w:w="9101" w:type="dxa"/>
          </w:tcPr>
          <w:p w:rsidR="00222B03" w:rsidRDefault="00222B03" w:rsidP="005A0EE8">
            <w:pPr>
              <w:pStyle w:val="Sectionnumber"/>
              <w:numPr>
                <w:ilvl w:val="0"/>
                <w:numId w:val="0"/>
              </w:numPr>
              <w:rPr>
                <w:bCs/>
              </w:rPr>
            </w:pPr>
            <w:r>
              <w:rPr>
                <w:bCs/>
              </w:rPr>
              <w:t xml:space="preserve">Undergraduate tuition guarantee plan; U of M. </w:t>
            </w:r>
            <w:r w:rsidR="005A0EE8">
              <w:rPr>
                <w:b w:val="0"/>
                <w:bCs/>
              </w:rPr>
              <w:t>Encourages the B</w:t>
            </w:r>
            <w:r>
              <w:rPr>
                <w:b w:val="0"/>
                <w:bCs/>
              </w:rPr>
              <w:t xml:space="preserve">oard of </w:t>
            </w:r>
            <w:r w:rsidR="005A0EE8">
              <w:rPr>
                <w:b w:val="0"/>
                <w:bCs/>
              </w:rPr>
              <w:t>R</w:t>
            </w:r>
            <w:r>
              <w:rPr>
                <w:b w:val="0"/>
                <w:bCs/>
              </w:rPr>
              <w:t>egents to offer a tuition plan for Minnesota resident students pursuing undergraduate degrees that holds tuition constant at the rate charged in the first semester.  The plan must have stable tuition for the four years that are necessary to complete the degree, after which tuition may increase to the rate charged new enrolling students.</w:t>
            </w:r>
          </w:p>
        </w:tc>
      </w:tr>
      <w:tr w:rsidR="00222B03" w:rsidTr="003049A4">
        <w:tc>
          <w:tcPr>
            <w:tcW w:w="1195" w:type="dxa"/>
            <w:tcMar>
              <w:right w:w="43" w:type="dxa"/>
            </w:tcMar>
          </w:tcPr>
          <w:p w:rsidR="00222B03" w:rsidRDefault="00222B03" w:rsidP="003049A4">
            <w:pPr>
              <w:pStyle w:val="Sectionnumber"/>
            </w:pPr>
          </w:p>
        </w:tc>
        <w:tc>
          <w:tcPr>
            <w:tcW w:w="9101" w:type="dxa"/>
          </w:tcPr>
          <w:p w:rsidR="00222B03" w:rsidRDefault="00222B03" w:rsidP="003F015A">
            <w:pPr>
              <w:pStyle w:val="Sectionnumber"/>
              <w:numPr>
                <w:ilvl w:val="0"/>
                <w:numId w:val="0"/>
              </w:numPr>
              <w:rPr>
                <w:b w:val="0"/>
                <w:bCs/>
              </w:rPr>
            </w:pPr>
            <w:r>
              <w:rPr>
                <w:bCs/>
              </w:rPr>
              <w:t xml:space="preserve">Study of graduate education in for-profit sector. </w:t>
            </w:r>
            <w:r w:rsidRPr="00222B03">
              <w:rPr>
                <w:b w:val="0"/>
                <w:bCs/>
              </w:rPr>
              <w:t>R</w:t>
            </w:r>
            <w:r>
              <w:rPr>
                <w:b w:val="0"/>
                <w:bCs/>
              </w:rPr>
              <w:t>equires the Office of Higher Education (OHE) to study the for-profit graduate education sector in Minnesota.  The study must include:</w:t>
            </w:r>
          </w:p>
          <w:p w:rsidR="00222B03" w:rsidRDefault="00222B03" w:rsidP="00222B03">
            <w:pPr>
              <w:pStyle w:val="BodyText"/>
              <w:numPr>
                <w:ilvl w:val="0"/>
                <w:numId w:val="39"/>
              </w:numPr>
              <w:spacing w:beforeAutospacing="1" w:after="100"/>
              <w:rPr>
                <w:b w:val="0"/>
                <w:bCs/>
              </w:rPr>
            </w:pPr>
            <w:r>
              <w:rPr>
                <w:b w:val="0"/>
                <w:bCs/>
              </w:rPr>
              <w:t>rights and responsibilities of their graduate students;</w:t>
            </w:r>
          </w:p>
          <w:p w:rsidR="00222B03" w:rsidRDefault="00222B03" w:rsidP="00222B03">
            <w:pPr>
              <w:pStyle w:val="BodyText"/>
              <w:numPr>
                <w:ilvl w:val="0"/>
                <w:numId w:val="39"/>
              </w:numPr>
              <w:spacing w:beforeAutospacing="1" w:after="100"/>
              <w:rPr>
                <w:b w:val="0"/>
                <w:bCs/>
              </w:rPr>
            </w:pPr>
            <w:r>
              <w:rPr>
                <w:b w:val="0"/>
                <w:bCs/>
              </w:rPr>
              <w:lastRenderedPageBreak/>
              <w:t>contractual arrangements and fulfillment of the contracts by the school and the student;</w:t>
            </w:r>
          </w:p>
          <w:p w:rsidR="00222B03" w:rsidRDefault="00222B03" w:rsidP="00222B03">
            <w:pPr>
              <w:pStyle w:val="BodyText"/>
              <w:numPr>
                <w:ilvl w:val="0"/>
                <w:numId w:val="39"/>
              </w:numPr>
              <w:spacing w:beforeAutospacing="1" w:after="100"/>
              <w:rPr>
                <w:b w:val="0"/>
                <w:bCs/>
              </w:rPr>
            </w:pPr>
            <w:r>
              <w:rPr>
                <w:b w:val="0"/>
                <w:bCs/>
              </w:rPr>
              <w:t>protection of students’ intellectual property rights;</w:t>
            </w:r>
          </w:p>
          <w:p w:rsidR="00222B03" w:rsidRDefault="00222B03" w:rsidP="00222B03">
            <w:pPr>
              <w:pStyle w:val="BodyText"/>
              <w:numPr>
                <w:ilvl w:val="0"/>
                <w:numId w:val="39"/>
              </w:numPr>
              <w:spacing w:beforeAutospacing="1" w:after="100"/>
              <w:rPr>
                <w:b w:val="0"/>
                <w:bCs/>
              </w:rPr>
            </w:pPr>
            <w:r>
              <w:rPr>
                <w:b w:val="0"/>
                <w:bCs/>
              </w:rPr>
              <w:t>clear communication of graduation expectations and requirements;</w:t>
            </w:r>
          </w:p>
          <w:p w:rsidR="00222B03" w:rsidRDefault="00222B03" w:rsidP="00222B03">
            <w:pPr>
              <w:pStyle w:val="BodyText"/>
              <w:numPr>
                <w:ilvl w:val="0"/>
                <w:numId w:val="39"/>
              </w:numPr>
              <w:spacing w:beforeAutospacing="1" w:after="100"/>
              <w:rPr>
                <w:b w:val="0"/>
                <w:bCs/>
              </w:rPr>
            </w:pPr>
            <w:r>
              <w:rPr>
                <w:b w:val="0"/>
                <w:bCs/>
              </w:rPr>
              <w:t>notice of and access to any changed graduation expectations;</w:t>
            </w:r>
          </w:p>
          <w:p w:rsidR="00222B03" w:rsidRDefault="00222B03" w:rsidP="00222B03">
            <w:pPr>
              <w:pStyle w:val="BodyText"/>
              <w:numPr>
                <w:ilvl w:val="0"/>
                <w:numId w:val="39"/>
              </w:numPr>
              <w:spacing w:beforeAutospacing="1" w:after="100"/>
              <w:rPr>
                <w:b w:val="0"/>
                <w:bCs/>
              </w:rPr>
            </w:pPr>
            <w:r>
              <w:rPr>
                <w:b w:val="0"/>
                <w:bCs/>
              </w:rPr>
              <w:t>providing students clear guidelines on due process, academic freedom of inquiry, recourse to resolve conflicts, including alternative dispute resolution; and</w:t>
            </w:r>
          </w:p>
          <w:p w:rsidR="00222B03" w:rsidRDefault="00222B03" w:rsidP="00222B03">
            <w:pPr>
              <w:pStyle w:val="BodyText"/>
              <w:numPr>
                <w:ilvl w:val="0"/>
                <w:numId w:val="39"/>
              </w:numPr>
              <w:spacing w:beforeAutospacing="1" w:after="100"/>
              <w:rPr>
                <w:b w:val="0"/>
                <w:bCs/>
              </w:rPr>
            </w:pPr>
            <w:r>
              <w:rPr>
                <w:b w:val="0"/>
                <w:bCs/>
              </w:rPr>
              <w:t>examples of effective graduate policies and guidelines.</w:t>
            </w:r>
          </w:p>
          <w:p w:rsidR="00222B03" w:rsidRDefault="00222B03" w:rsidP="00222B03">
            <w:pPr>
              <w:pStyle w:val="BodyText"/>
              <w:rPr>
                <w:bCs/>
              </w:rPr>
            </w:pPr>
            <w:r>
              <w:rPr>
                <w:b w:val="0"/>
                <w:bCs/>
              </w:rPr>
              <w:t>OHE must report findings and recommendations for improving graduate education in the for-profit education sector to the legislature by January 15, 2013.</w:t>
            </w:r>
          </w:p>
        </w:tc>
      </w:tr>
      <w:tr w:rsidR="00222B03" w:rsidTr="003049A4">
        <w:tc>
          <w:tcPr>
            <w:tcW w:w="1195" w:type="dxa"/>
            <w:tcMar>
              <w:right w:w="43" w:type="dxa"/>
            </w:tcMar>
          </w:tcPr>
          <w:p w:rsidR="00222B03" w:rsidRDefault="00222B03" w:rsidP="003049A4">
            <w:pPr>
              <w:pStyle w:val="Sectionnumber"/>
            </w:pPr>
          </w:p>
        </w:tc>
        <w:tc>
          <w:tcPr>
            <w:tcW w:w="9101" w:type="dxa"/>
          </w:tcPr>
          <w:p w:rsidR="00222B03" w:rsidRDefault="00222B03" w:rsidP="003F015A">
            <w:pPr>
              <w:pStyle w:val="Sectionnumber"/>
              <w:numPr>
                <w:ilvl w:val="0"/>
                <w:numId w:val="0"/>
              </w:numPr>
              <w:rPr>
                <w:b w:val="0"/>
                <w:bCs/>
              </w:rPr>
            </w:pPr>
            <w:r>
              <w:rPr>
                <w:bCs/>
              </w:rPr>
              <w:t xml:space="preserve">Credit transfer within Minnesota State Colleges and Universities. </w:t>
            </w:r>
            <w:r w:rsidRPr="00222B03">
              <w:rPr>
                <w:b w:val="0"/>
                <w:bCs/>
              </w:rPr>
              <w:t>R</w:t>
            </w:r>
            <w:r>
              <w:rPr>
                <w:b w:val="0"/>
                <w:bCs/>
              </w:rPr>
              <w:t>equires the board of trustees to adopt a policy on credit transfers that:</w:t>
            </w:r>
          </w:p>
          <w:p w:rsidR="00222B03" w:rsidRDefault="00222B03" w:rsidP="00222B03">
            <w:pPr>
              <w:pStyle w:val="BodyText"/>
              <w:numPr>
                <w:ilvl w:val="0"/>
                <w:numId w:val="40"/>
              </w:numPr>
              <w:spacing w:beforeAutospacing="1" w:after="100"/>
              <w:rPr>
                <w:b w:val="0"/>
                <w:bCs/>
              </w:rPr>
            </w:pPr>
            <w:r>
              <w:rPr>
                <w:b w:val="0"/>
                <w:bCs/>
              </w:rPr>
              <w:t xml:space="preserve">allows any MnSCU course taken for credit to transfer to any MnSCU institution for the same number of credits; </w:t>
            </w:r>
          </w:p>
          <w:p w:rsidR="00222B03" w:rsidRDefault="00222B03" w:rsidP="00222B03">
            <w:pPr>
              <w:pStyle w:val="BodyText"/>
              <w:numPr>
                <w:ilvl w:val="0"/>
                <w:numId w:val="40"/>
              </w:numPr>
              <w:spacing w:beforeAutospacing="1" w:after="100"/>
              <w:rPr>
                <w:b w:val="0"/>
                <w:bCs/>
              </w:rPr>
            </w:pPr>
            <w:r>
              <w:rPr>
                <w:b w:val="0"/>
                <w:bCs/>
              </w:rPr>
              <w:t>addresses the transferability of credits from 2+2 programs, including the Anoka STEP program; and</w:t>
            </w:r>
          </w:p>
          <w:p w:rsidR="00222B03" w:rsidRDefault="00222B03" w:rsidP="00222B03">
            <w:pPr>
              <w:pStyle w:val="BodyText"/>
              <w:numPr>
                <w:ilvl w:val="0"/>
                <w:numId w:val="40"/>
              </w:numPr>
              <w:spacing w:beforeAutospacing="1" w:after="100"/>
              <w:rPr>
                <w:b w:val="0"/>
                <w:bCs/>
              </w:rPr>
            </w:pPr>
            <w:r>
              <w:rPr>
                <w:b w:val="0"/>
                <w:bCs/>
              </w:rPr>
              <w:t>allows the credits to transfer as elective credits.</w:t>
            </w:r>
          </w:p>
          <w:p w:rsidR="00222B03" w:rsidRDefault="00222B03" w:rsidP="00222B03">
            <w:pPr>
              <w:pStyle w:val="BodyText"/>
              <w:rPr>
                <w:bCs/>
              </w:rPr>
            </w:pPr>
            <w:r>
              <w:rPr>
                <w:b w:val="0"/>
                <w:bCs/>
              </w:rPr>
              <w:t>The board must adopt this credit-transfer policy by February 15, 2012.</w:t>
            </w:r>
          </w:p>
        </w:tc>
      </w:tr>
      <w:tr w:rsidR="003049A4" w:rsidTr="003049A4">
        <w:tc>
          <w:tcPr>
            <w:tcW w:w="1195" w:type="dxa"/>
            <w:tcMar>
              <w:right w:w="43" w:type="dxa"/>
            </w:tcMar>
          </w:tcPr>
          <w:p w:rsidR="003049A4" w:rsidRDefault="003049A4" w:rsidP="003049A4">
            <w:pPr>
              <w:pStyle w:val="Sectionnumber"/>
            </w:pPr>
          </w:p>
        </w:tc>
        <w:tc>
          <w:tcPr>
            <w:tcW w:w="9101" w:type="dxa"/>
          </w:tcPr>
          <w:p w:rsidR="003049A4" w:rsidRDefault="003049A4" w:rsidP="003049A4">
            <w:pPr>
              <w:pStyle w:val="Sectionnumber"/>
              <w:numPr>
                <w:ilvl w:val="0"/>
                <w:numId w:val="0"/>
              </w:numPr>
              <w:rPr>
                <w:b w:val="0"/>
                <w:bCs/>
              </w:rPr>
            </w:pPr>
            <w:r>
              <w:rPr>
                <w:bCs/>
              </w:rPr>
              <w:t xml:space="preserve">Repealer.  </w:t>
            </w:r>
            <w:r>
              <w:rPr>
                <w:b w:val="0"/>
                <w:bCs/>
              </w:rPr>
              <w:t>Repeals:</w:t>
            </w:r>
          </w:p>
          <w:p w:rsidR="003049A4" w:rsidRDefault="003049A4" w:rsidP="00691F8C">
            <w:pPr>
              <w:pStyle w:val="BodyText"/>
              <w:numPr>
                <w:ilvl w:val="0"/>
                <w:numId w:val="40"/>
              </w:numPr>
              <w:spacing w:beforeAutospacing="1" w:after="100"/>
              <w:rPr>
                <w:b w:val="0"/>
                <w:bCs/>
              </w:rPr>
            </w:pPr>
            <w:r>
              <w:rPr>
                <w:b w:val="0"/>
                <w:bCs/>
              </w:rPr>
              <w:t>the requirement for public institutions to sell American-made clothing and apparel in their bookstores to the exten</w:t>
            </w:r>
            <w:r w:rsidR="001257BB">
              <w:rPr>
                <w:b w:val="0"/>
                <w:bCs/>
              </w:rPr>
              <w:t>t</w:t>
            </w:r>
            <w:r>
              <w:rPr>
                <w:b w:val="0"/>
                <w:bCs/>
              </w:rPr>
              <w:t xml:space="preserve"> possible; </w:t>
            </w:r>
          </w:p>
          <w:p w:rsidR="003049A4" w:rsidRDefault="003049A4" w:rsidP="00691F8C">
            <w:pPr>
              <w:pStyle w:val="BodyText"/>
              <w:numPr>
                <w:ilvl w:val="0"/>
                <w:numId w:val="40"/>
              </w:numPr>
              <w:spacing w:beforeAutospacing="1" w:after="100"/>
              <w:rPr>
                <w:b w:val="0"/>
                <w:bCs/>
              </w:rPr>
            </w:pPr>
            <w:r>
              <w:rPr>
                <w:b w:val="0"/>
                <w:bCs/>
              </w:rPr>
              <w:t>the requirement that public employers purchase or require employees to furnish uniform or protective accessori</w:t>
            </w:r>
            <w:r w:rsidR="00691F8C">
              <w:rPr>
                <w:b w:val="0"/>
                <w:bCs/>
              </w:rPr>
              <w:t>es that are not made in America;</w:t>
            </w:r>
          </w:p>
          <w:p w:rsidR="00222B03" w:rsidRDefault="00691F8C" w:rsidP="00691F8C">
            <w:pPr>
              <w:pStyle w:val="BodyText"/>
              <w:numPr>
                <w:ilvl w:val="0"/>
                <w:numId w:val="40"/>
              </w:numPr>
              <w:spacing w:beforeAutospacing="1" w:after="100"/>
              <w:rPr>
                <w:b w:val="0"/>
                <w:bCs/>
              </w:rPr>
            </w:pPr>
            <w:r>
              <w:rPr>
                <w:b w:val="0"/>
                <w:bCs/>
              </w:rPr>
              <w:t>t</w:t>
            </w:r>
            <w:r w:rsidR="00222B03">
              <w:rPr>
                <w:b w:val="0"/>
                <w:bCs/>
              </w:rPr>
              <w:t xml:space="preserve">he matching grant program that is part of the </w:t>
            </w:r>
            <w:r>
              <w:rPr>
                <w:b w:val="0"/>
                <w:bCs/>
              </w:rPr>
              <w:t>Minnesota College Savings plan; and</w:t>
            </w:r>
          </w:p>
          <w:p w:rsidR="00DE70B0" w:rsidRPr="00ED2457" w:rsidRDefault="00691F8C" w:rsidP="00691F8C">
            <w:pPr>
              <w:pStyle w:val="BodyText"/>
              <w:numPr>
                <w:ilvl w:val="0"/>
                <w:numId w:val="40"/>
              </w:numPr>
              <w:spacing w:beforeAutospacing="1" w:after="100"/>
              <w:rPr>
                <w:b w:val="0"/>
                <w:bCs/>
              </w:rPr>
            </w:pPr>
            <w:r>
              <w:rPr>
                <w:b w:val="0"/>
                <w:bCs/>
              </w:rPr>
              <w:t>r</w:t>
            </w:r>
            <w:r w:rsidR="00DE70B0">
              <w:rPr>
                <w:b w:val="0"/>
                <w:bCs/>
              </w:rPr>
              <w:t>equirement to provide one-time Achieve grants to students who were eligible before January 1, 2009</w:t>
            </w:r>
            <w:r w:rsidR="004E0DFA">
              <w:rPr>
                <w:b w:val="0"/>
                <w:bCs/>
              </w:rPr>
              <w:t>,</w:t>
            </w:r>
            <w:r w:rsidR="00DE70B0">
              <w:rPr>
                <w:b w:val="0"/>
                <w:bCs/>
              </w:rPr>
              <w:t xml:space="preserve"> and have not yet been awarded the grant.  </w:t>
            </w:r>
          </w:p>
        </w:tc>
      </w:tr>
    </w:tbl>
    <w:p w:rsidR="002B114A" w:rsidRDefault="002B114A">
      <w:pPr>
        <w:pStyle w:val="Sectionnumber"/>
        <w:sectPr w:rsidR="002B114A" w:rsidSect="00F268BE">
          <w:type w:val="continuous"/>
          <w:pgSz w:w="12240" w:h="15840" w:code="1"/>
          <w:pgMar w:top="720" w:right="1080" w:bottom="720" w:left="1080" w:header="720" w:footer="432" w:gutter="0"/>
          <w:cols w:space="720"/>
          <w:docGrid w:linePitch="326"/>
        </w:sectPr>
      </w:pPr>
    </w:p>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EE8" w:rsidRDefault="005A0EE8">
      <w:pPr>
        <w:spacing w:after="0"/>
      </w:pPr>
      <w:r>
        <w:separator/>
      </w:r>
    </w:p>
  </w:endnote>
  <w:endnote w:type="continuationSeparator" w:id="0">
    <w:p w:rsidR="005A0EE8" w:rsidRDefault="005A0EE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EE8" w:rsidRDefault="00C448E1">
    <w:pPr>
      <w:pStyle w:val="Header"/>
      <w:spacing w:line="240" w:lineRule="exact"/>
      <w:rPr>
        <w:noProof/>
      </w:rPr>
    </w:pPr>
    <w:r>
      <w:rPr>
        <w:noProof/>
      </w:rPr>
      <w:pict>
        <v:line id="_x0000_s2051" style="position:absolute;z-index:251657216" from="-22.95pt,14.75pt" to="517.05pt,14.75pt" strokeweight="1.5pt"/>
      </w:pict>
    </w:r>
  </w:p>
  <w:p w:rsidR="005A0EE8" w:rsidRDefault="00C448E1">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5A0EE8">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5A0EE8">
          <w:rPr>
            <w:rFonts w:ascii="Arial" w:hAnsi="Arial"/>
          </w:rPr>
          <w:t>Research Department</w:t>
        </w:r>
      </w:smartTag>
      <w:r w:rsidR="005A0EE8">
        <w:rPr>
          <w:rFonts w:ascii="Arial" w:hAnsi="Arial"/>
        </w:rPr>
        <w:tab/>
      </w:r>
      <w:smartTag w:uri="urn:schemas-microsoft-com:office:smarttags" w:element="State">
        <w:r w:rsidR="005A0EE8">
          <w:rPr>
            <w:rFonts w:ascii="Arial" w:hAnsi="Arial"/>
          </w:rPr>
          <w:t>Minnesota</w:t>
        </w:r>
      </w:smartTag>
    </w:smartTag>
    <w:r w:rsidR="005A0EE8">
      <w:rPr>
        <w:rFonts w:ascii="Arial" w:hAnsi="Arial"/>
      </w:rPr>
      <w:t xml:space="preserve"> House of Representatives</w:t>
    </w:r>
    <w:r w:rsidR="005A0EE8">
      <w:rPr>
        <w:rFonts w:ascii="Arial" w:hAnsi="Arial"/>
      </w:rPr>
      <w:tab/>
      <w:t>600 State Office Building</w:t>
    </w:r>
  </w:p>
  <w:p w:rsidR="005A0EE8" w:rsidRDefault="005A0EE8">
    <w:pPr>
      <w:pStyle w:val="Footer"/>
      <w:tabs>
        <w:tab w:val="clear" w:pos="4320"/>
        <w:tab w:val="clear" w:pos="8640"/>
        <w:tab w:val="right" w:pos="10350"/>
      </w:tabs>
      <w:rPr>
        <w:sz w:val="18"/>
      </w:rPr>
    </w:pPr>
    <w:r>
      <w:rPr>
        <w:rFonts w:ascii="Arial" w:hAnsi="Arial"/>
      </w:rPr>
      <w:tab/>
    </w:r>
    <w:r w:rsidR="00C448E1">
      <w:rPr>
        <w:sz w:val="18"/>
      </w:rPr>
      <w:fldChar w:fldCharType="begin"/>
    </w:r>
    <w:r>
      <w:rPr>
        <w:sz w:val="18"/>
      </w:rPr>
      <w:instrText xml:space="preserve"> FILENAME \p </w:instrText>
    </w:r>
    <w:r w:rsidR="00C448E1">
      <w:rPr>
        <w:sz w:val="18"/>
      </w:rPr>
      <w:fldChar w:fldCharType="separate"/>
    </w:r>
    <w:r w:rsidR="00507975">
      <w:rPr>
        <w:noProof/>
        <w:sz w:val="18"/>
      </w:rPr>
      <w:t>G:\Summaries\2011\1101de1-1 Nornes.kn.docx</w:t>
    </w:r>
    <w:r w:rsidR="00C448E1">
      <w:rPr>
        <w:sz w:val="18"/>
      </w:rPr>
      <w:fldChar w:fldCharType="end"/>
    </w:r>
    <w:r>
      <w:rPr>
        <w:sz w:val="18"/>
      </w:rPr>
      <w:t xml:space="preserve">  Last printed </w:t>
    </w:r>
    <w:r w:rsidR="00C448E1">
      <w:rPr>
        <w:sz w:val="18"/>
      </w:rPr>
      <w:fldChar w:fldCharType="begin"/>
    </w:r>
    <w:r>
      <w:rPr>
        <w:sz w:val="18"/>
      </w:rPr>
      <w:instrText xml:space="preserve"> PRINTDATE </w:instrText>
    </w:r>
    <w:r w:rsidR="00C448E1">
      <w:rPr>
        <w:sz w:val="18"/>
      </w:rPr>
      <w:fldChar w:fldCharType="separate"/>
    </w:r>
    <w:r w:rsidR="00507975">
      <w:rPr>
        <w:noProof/>
        <w:sz w:val="18"/>
      </w:rPr>
      <w:t>3/16/2011 6:22:00 PM</w:t>
    </w:r>
    <w:r w:rsidR="00C448E1">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EE8" w:rsidRDefault="00C448E1">
    <w:pPr>
      <w:pStyle w:val="Header"/>
      <w:spacing w:line="240" w:lineRule="exact"/>
      <w:rPr>
        <w:noProof/>
      </w:rPr>
    </w:pPr>
    <w:r>
      <w:rPr>
        <w:noProof/>
      </w:rPr>
      <w:pict>
        <v:line id="_x0000_s2050" style="position:absolute;z-index:251656192" from="-22.95pt,14.75pt" to="517.05pt,14.75pt" strokeweight="1.5pt"/>
      </w:pict>
    </w:r>
  </w:p>
  <w:p w:rsidR="005A0EE8" w:rsidRDefault="00C448E1">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5A0EE8">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5A0EE8">
          <w:rPr>
            <w:rFonts w:ascii="Arial" w:hAnsi="Arial"/>
          </w:rPr>
          <w:t>Research Department</w:t>
        </w:r>
      </w:smartTag>
      <w:r w:rsidR="005A0EE8">
        <w:rPr>
          <w:rFonts w:ascii="Arial" w:hAnsi="Arial"/>
        </w:rPr>
        <w:tab/>
      </w:r>
      <w:smartTag w:uri="urn:schemas-microsoft-com:office:smarttags" w:element="State">
        <w:r w:rsidR="005A0EE8">
          <w:rPr>
            <w:rFonts w:ascii="Arial" w:hAnsi="Arial"/>
          </w:rPr>
          <w:t>Minnesota</w:t>
        </w:r>
      </w:smartTag>
    </w:smartTag>
    <w:r w:rsidR="005A0EE8">
      <w:rPr>
        <w:rFonts w:ascii="Arial" w:hAnsi="Arial"/>
      </w:rPr>
      <w:t xml:space="preserve"> House of Representatives</w:t>
    </w:r>
    <w:r w:rsidR="005A0EE8">
      <w:rPr>
        <w:rFonts w:ascii="Arial" w:hAnsi="Arial"/>
      </w:rPr>
      <w:tab/>
      <w:t>600 State Office Building</w:t>
    </w:r>
  </w:p>
  <w:p w:rsidR="005A0EE8" w:rsidRDefault="005A0EE8">
    <w:pPr>
      <w:pStyle w:val="Footer"/>
      <w:tabs>
        <w:tab w:val="clear" w:pos="4320"/>
        <w:tab w:val="clear" w:pos="8640"/>
        <w:tab w:val="right" w:pos="10350"/>
      </w:tabs>
      <w:spacing w:before="0"/>
      <w:rPr>
        <w:sz w:val="18"/>
      </w:rPr>
    </w:pPr>
    <w:r>
      <w:tab/>
    </w:r>
    <w:r w:rsidR="00C448E1">
      <w:rPr>
        <w:snapToGrid w:val="0"/>
        <w:sz w:val="18"/>
      </w:rPr>
      <w:fldChar w:fldCharType="begin"/>
    </w:r>
    <w:r>
      <w:rPr>
        <w:snapToGrid w:val="0"/>
        <w:sz w:val="18"/>
      </w:rPr>
      <w:instrText xml:space="preserve"> FILENAME \p </w:instrText>
    </w:r>
    <w:r w:rsidR="00C448E1">
      <w:rPr>
        <w:snapToGrid w:val="0"/>
        <w:sz w:val="18"/>
      </w:rPr>
      <w:fldChar w:fldCharType="separate"/>
    </w:r>
    <w:r w:rsidR="00507975">
      <w:rPr>
        <w:noProof/>
        <w:snapToGrid w:val="0"/>
        <w:sz w:val="18"/>
      </w:rPr>
      <w:t>G:\Summaries\2011\1101de1-1 Nornes.kn.docx</w:t>
    </w:r>
    <w:r w:rsidR="00C448E1">
      <w:rPr>
        <w:snapToGrid w:val="0"/>
        <w:sz w:val="18"/>
      </w:rPr>
      <w:fldChar w:fldCharType="end"/>
    </w:r>
    <w:r>
      <w:rPr>
        <w:snapToGrid w:val="0"/>
        <w:sz w:val="18"/>
      </w:rPr>
      <w:t xml:space="preserve">  Last printed </w:t>
    </w:r>
    <w:r w:rsidR="00C448E1">
      <w:rPr>
        <w:snapToGrid w:val="0"/>
        <w:sz w:val="18"/>
      </w:rPr>
      <w:fldChar w:fldCharType="begin"/>
    </w:r>
    <w:r>
      <w:rPr>
        <w:snapToGrid w:val="0"/>
        <w:sz w:val="18"/>
      </w:rPr>
      <w:instrText xml:space="preserve"> PRINTDATE </w:instrText>
    </w:r>
    <w:r w:rsidR="00C448E1">
      <w:rPr>
        <w:snapToGrid w:val="0"/>
        <w:sz w:val="18"/>
      </w:rPr>
      <w:fldChar w:fldCharType="separate"/>
    </w:r>
    <w:r w:rsidR="00507975">
      <w:rPr>
        <w:noProof/>
        <w:snapToGrid w:val="0"/>
        <w:sz w:val="18"/>
      </w:rPr>
      <w:t>3/16/2011 6:22:00 PM</w:t>
    </w:r>
    <w:r w:rsidR="00C448E1">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EE8" w:rsidRDefault="005A0EE8">
      <w:pPr>
        <w:spacing w:after="0"/>
      </w:pPr>
      <w:r>
        <w:separator/>
      </w:r>
    </w:p>
  </w:footnote>
  <w:footnote w:type="continuationSeparator" w:id="0">
    <w:p w:rsidR="005A0EE8" w:rsidRDefault="005A0EE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EE8" w:rsidRDefault="005A0EE8">
    <w:pPr>
      <w:pStyle w:val="Header"/>
    </w:pPr>
    <w:r>
      <w:t>H.F. 1101</w:t>
    </w:r>
    <w:r>
      <w:tab/>
    </w:r>
    <w:r>
      <w:tab/>
      <w:t>March 1</w:t>
    </w:r>
    <w:r w:rsidR="00507975">
      <w:t>6</w:t>
    </w:r>
    <w:r>
      <w:t>, 2011</w:t>
    </w:r>
  </w:p>
  <w:p w:rsidR="005A0EE8" w:rsidRDefault="005A0EE8">
    <w:pPr>
      <w:pStyle w:val="Header"/>
    </w:pPr>
    <w:r>
      <w:t>Version:</w:t>
    </w:r>
    <w:r>
      <w:tab/>
      <w:t>The delete-everything amendment (H1101DE1</w:t>
    </w:r>
    <w:r w:rsidR="00507975">
      <w:t>-1</w:t>
    </w:r>
    <w:r>
      <w:t>)</w:t>
    </w:r>
    <w:r>
      <w:tab/>
      <w:t xml:space="preserve">Page </w:t>
    </w:r>
    <w:fldSimple w:instr=" PAGE  \* MERGEFORMAT ">
      <w:r w:rsidR="00507975">
        <w:rPr>
          <w:noProof/>
        </w:rPr>
        <w:t>5</w:t>
      </w:r>
    </w:fldSimple>
  </w:p>
  <w:p w:rsidR="005A0EE8" w:rsidRDefault="005A0EE8">
    <w:pPr>
      <w:pStyle w:val="Header"/>
    </w:pPr>
  </w:p>
  <w:p w:rsidR="005A0EE8" w:rsidRPr="00A97652" w:rsidRDefault="005A0EE8" w:rsidP="00A97652">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DD5EE25C"/>
    <w:lvl w:ilvl="0" w:tplc="6F3A5BE6">
      <w:start w:val="13"/>
      <w:numFmt w:val="decimal"/>
      <w:lvlRestart w:val="0"/>
      <w:pStyle w:val="Sectionnumber"/>
      <w:lvlText w:val="%1"/>
      <w:lvlJc w:val="left"/>
      <w:pPr>
        <w:tabs>
          <w:tab w:val="num" w:pos="360"/>
        </w:tabs>
        <w:ind w:left="0" w:firstLine="0"/>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A0179"/>
    <w:multiLevelType w:val="singleLevel"/>
    <w:tmpl w:val="0BD8BFB8"/>
    <w:lvl w:ilvl="0">
      <w:start w:val="1"/>
      <w:numFmt w:val="decimal"/>
      <w:lvlText w:val="%1"/>
      <w:lvlJc w:val="left"/>
      <w:pPr>
        <w:tabs>
          <w:tab w:val="num" w:pos="360"/>
        </w:tabs>
        <w:ind w:left="360" w:hanging="360"/>
      </w:pPr>
    </w:lvl>
  </w:abstractNum>
  <w:abstractNum w:abstractNumId="6">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B03559"/>
    <w:multiLevelType w:val="hybridMultilevel"/>
    <w:tmpl w:val="A4EEA7A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33B74449"/>
    <w:multiLevelType w:val="singleLevel"/>
    <w:tmpl w:val="EC02AB28"/>
    <w:lvl w:ilvl="0">
      <w:start w:val="1"/>
      <w:numFmt w:val="decimal"/>
      <w:lvlText w:val="%1"/>
      <w:lvlJc w:val="left"/>
      <w:pPr>
        <w:tabs>
          <w:tab w:val="num" w:pos="360"/>
        </w:tabs>
        <w:ind w:left="360" w:hanging="360"/>
      </w:pPr>
    </w:lvl>
  </w:abstractNum>
  <w:abstractNum w:abstractNumId="10">
    <w:nsid w:val="35390738"/>
    <w:multiLevelType w:val="hybridMultilevel"/>
    <w:tmpl w:val="530C8E6E"/>
    <w:lvl w:ilvl="0" w:tplc="E954CF44">
      <w:start w:val="1"/>
      <w:numFmt w:val="bullet"/>
      <w:lvlText w:val=""/>
      <w:lvlJc w:val="left"/>
      <w:pPr>
        <w:ind w:left="720" w:hanging="360"/>
      </w:pPr>
      <w:rPr>
        <w:rFonts w:ascii="Wingdings 3" w:hAnsi="Wingdings 3"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2">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2431D03"/>
    <w:multiLevelType w:val="hybridMultilevel"/>
    <w:tmpl w:val="6D84F080"/>
    <w:lvl w:ilvl="0" w:tplc="96F25BD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4E6517"/>
    <w:multiLevelType w:val="hybridMultilevel"/>
    <w:tmpl w:val="BBE26550"/>
    <w:lvl w:ilvl="0" w:tplc="166A65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923583"/>
    <w:multiLevelType w:val="hybridMultilevel"/>
    <w:tmpl w:val="5948A778"/>
    <w:lvl w:ilvl="0" w:tplc="FFBECD54">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20">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9"/>
  </w:num>
  <w:num w:numId="4">
    <w:abstractNumId w:val="0"/>
  </w:num>
  <w:num w:numId="5">
    <w:abstractNumId w:val="3"/>
  </w:num>
  <w:num w:numId="6">
    <w:abstractNumId w:val="16"/>
  </w:num>
  <w:num w:numId="7">
    <w:abstractNumId w:val="20"/>
  </w:num>
  <w:num w:numId="8">
    <w:abstractNumId w:val="7"/>
  </w:num>
  <w:num w:numId="9">
    <w:abstractNumId w:val="11"/>
  </w:num>
  <w:num w:numId="10">
    <w:abstractNumId w:val="2"/>
  </w:num>
  <w:num w:numId="11">
    <w:abstractNumId w:val="19"/>
  </w:num>
  <w:num w:numId="12">
    <w:abstractNumId w:val="17"/>
  </w:num>
  <w:num w:numId="13">
    <w:abstractNumId w:val="12"/>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8"/>
  </w:num>
  <w:num w:numId="29">
    <w:abstractNumId w:val="10"/>
  </w:num>
  <w:num w:numId="30">
    <w:abstractNumId w:val="0"/>
  </w:num>
  <w:num w:numId="31">
    <w:abstractNumId w:val="0"/>
  </w:num>
  <w:num w:numId="32">
    <w:abstractNumId w:val="0"/>
  </w:num>
  <w:num w:numId="33">
    <w:abstractNumId w:val="0"/>
  </w:num>
  <w:num w:numId="34">
    <w:abstractNumId w:val="0"/>
  </w:num>
  <w:num w:numId="35">
    <w:abstractNumId w:val="14"/>
  </w:num>
  <w:num w:numId="36">
    <w:abstractNumId w:val="0"/>
  </w:num>
  <w:num w:numId="37">
    <w:abstractNumId w:val="8"/>
  </w:num>
  <w:num w:numId="38">
    <w:abstractNumId w:val="0"/>
    <w:lvlOverride w:ilvl="0">
      <w:startOverride w:val="13"/>
    </w:lvlOverride>
  </w:num>
  <w:num w:numId="39">
    <w:abstractNumId w:val="15"/>
  </w:num>
  <w:num w:numId="40">
    <w:abstractNumId w:val="13"/>
  </w:num>
  <w:num w:numId="41">
    <w:abstractNumId w:val="0"/>
    <w:lvlOverride w:ilvl="0">
      <w:startOverride w:val="1"/>
    </w:lvlOverride>
  </w:num>
  <w:num w:numId="42">
    <w:abstractNumId w:val="0"/>
  </w:num>
  <w:num w:numId="43">
    <w:abstractNumId w:val="0"/>
    <w:lvlOverride w:ilvl="0">
      <w:startOverride w:val="1"/>
    </w:lvlOverride>
  </w:num>
  <w:num w:numId="44">
    <w:abstractNumId w:val="0"/>
  </w:num>
  <w:num w:numId="45">
    <w:abstractNumId w:val="0"/>
  </w:num>
  <w:num w:numId="46">
    <w:abstractNumId w:val="0"/>
  </w:num>
  <w:num w:numId="47">
    <w:abstractNumId w:val="0"/>
  </w:num>
  <w:num w:numId="48">
    <w:abstractNumId w:val="0"/>
  </w:num>
  <w:num w:numId="49">
    <w:abstractNumId w:val="0"/>
    <w:lvlOverride w:ilvl="0">
      <w:startOverride w:val="1"/>
    </w:lvlOverride>
  </w:num>
  <w:num w:numId="50">
    <w:abstractNumId w:val="0"/>
    <w:lvlOverride w:ilvl="0">
      <w:startOverride w:val="1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
  <w:rsids>
    <w:rsidRoot w:val="00CD2CC0"/>
    <w:rsid w:val="000029B9"/>
    <w:rsid w:val="00006F9A"/>
    <w:rsid w:val="000C365F"/>
    <w:rsid w:val="00101D2B"/>
    <w:rsid w:val="001257BB"/>
    <w:rsid w:val="001B31DA"/>
    <w:rsid w:val="001E3583"/>
    <w:rsid w:val="002070B2"/>
    <w:rsid w:val="00221AF6"/>
    <w:rsid w:val="00222B03"/>
    <w:rsid w:val="00266735"/>
    <w:rsid w:val="002B114A"/>
    <w:rsid w:val="002C38F9"/>
    <w:rsid w:val="003049A4"/>
    <w:rsid w:val="0034584D"/>
    <w:rsid w:val="00360155"/>
    <w:rsid w:val="003D170F"/>
    <w:rsid w:val="003E7D4F"/>
    <w:rsid w:val="003F015A"/>
    <w:rsid w:val="00405797"/>
    <w:rsid w:val="00491393"/>
    <w:rsid w:val="004A6DD2"/>
    <w:rsid w:val="004D3D26"/>
    <w:rsid w:val="004E0DFA"/>
    <w:rsid w:val="00507975"/>
    <w:rsid w:val="005A0EE8"/>
    <w:rsid w:val="005B3767"/>
    <w:rsid w:val="005E4BEA"/>
    <w:rsid w:val="00691F8C"/>
    <w:rsid w:val="00705A4F"/>
    <w:rsid w:val="00790FF5"/>
    <w:rsid w:val="00797DE5"/>
    <w:rsid w:val="007C48B9"/>
    <w:rsid w:val="008345F2"/>
    <w:rsid w:val="008952FB"/>
    <w:rsid w:val="0090041D"/>
    <w:rsid w:val="00977C5A"/>
    <w:rsid w:val="009D3718"/>
    <w:rsid w:val="009D4386"/>
    <w:rsid w:val="009E5FD1"/>
    <w:rsid w:val="00A53DFC"/>
    <w:rsid w:val="00A8513B"/>
    <w:rsid w:val="00A946A7"/>
    <w:rsid w:val="00A97652"/>
    <w:rsid w:val="00AB78BA"/>
    <w:rsid w:val="00B84EE0"/>
    <w:rsid w:val="00B92E70"/>
    <w:rsid w:val="00BF29E1"/>
    <w:rsid w:val="00C448E1"/>
    <w:rsid w:val="00CD2CC0"/>
    <w:rsid w:val="00D7022A"/>
    <w:rsid w:val="00DE6A2A"/>
    <w:rsid w:val="00DE70B0"/>
    <w:rsid w:val="00E05746"/>
    <w:rsid w:val="00F11DF4"/>
    <w:rsid w:val="00F268BE"/>
    <w:rsid w:val="00F361A9"/>
    <w:rsid w:val="00F43E68"/>
    <w:rsid w:val="00F57DA1"/>
    <w:rsid w:val="00F63F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47"/>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83</TotalTime>
  <Pages>5</Pages>
  <Words>1646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10667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DellUser</dc:creator>
  <cp:lastModifiedBy>Kristie Strum</cp:lastModifiedBy>
  <cp:revision>19</cp:revision>
  <cp:lastPrinted>2011-03-16T23:22:00Z</cp:lastPrinted>
  <dcterms:created xsi:type="dcterms:W3CDTF">2011-03-15T17:40:00Z</dcterms:created>
  <dcterms:modified xsi:type="dcterms:W3CDTF">2011-03-16T23:22:00Z</dcterms:modified>
</cp:coreProperties>
</file>