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0E2305">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0E2305">
        <w:fldChar w:fldCharType="begin"/>
      </w:r>
      <w:r>
        <w:instrText>ADVANCE \u14</w:instrText>
      </w:r>
      <w:r w:rsidR="000E2305">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H.F.</w:t>
      </w:r>
      <w:r w:rsidR="009F6950">
        <w:t xml:space="preserve"> 1217</w:t>
      </w:r>
      <w:r>
        <w:tab/>
      </w:r>
      <w:r>
        <w:rPr>
          <w:rFonts w:ascii="Arial" w:hAnsi="Arial"/>
          <w:b/>
          <w:sz w:val="28"/>
        </w:rPr>
        <w:t>DATE:</w:t>
      </w:r>
      <w:r>
        <w:rPr>
          <w:rFonts w:ascii="Arial" w:hAnsi="Arial"/>
          <w:b/>
          <w:sz w:val="28"/>
        </w:rPr>
        <w:tab/>
      </w:r>
      <w:r w:rsidR="009F6950">
        <w:rPr>
          <w:bCs/>
        </w:rPr>
        <w:t>February 8, 2010</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9F6950">
        <w:rPr>
          <w:bCs/>
        </w:rPr>
        <w:t xml:space="preserve">The Delete </w:t>
      </w:r>
      <w:r w:rsidR="005733A9">
        <w:rPr>
          <w:bCs/>
        </w:rPr>
        <w:t>Everything</w:t>
      </w:r>
      <w:r w:rsidR="009F6950">
        <w:rPr>
          <w:bCs/>
        </w:rPr>
        <w:t xml:space="preserve"> Amendment</w:t>
      </w:r>
      <w:r w:rsidR="005733A9">
        <w:rPr>
          <w:bCs/>
        </w:rPr>
        <w:t xml:space="preserve"> </w:t>
      </w:r>
      <w:r w:rsidR="005733A9">
        <w:t>(H1217DE6)</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9F6950">
        <w:rPr>
          <w:bCs/>
        </w:rPr>
        <w:t>Gardner</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9F6950">
        <w:rPr>
          <w:bCs/>
        </w:rPr>
        <w:t>Unwanted drug collection program</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9873E8">
        <w:rPr>
          <w:sz w:val="22"/>
        </w:rPr>
        <w:t>Bob Eleff</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0E2305">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236092">
      <w:pPr>
        <w:tabs>
          <w:tab w:val="left" w:pos="-360"/>
          <w:tab w:val="left" w:pos="0"/>
          <w:tab w:val="left" w:pos="1080"/>
        </w:tabs>
        <w:spacing w:before="100" w:beforeAutospacing="1" w:after="100" w:afterAutospacing="1"/>
        <w:ind w:left="1080" w:right="1080"/>
      </w:pPr>
      <w:r>
        <w:t>House File 1217 (H1217DE6) creates a framework for the collection, transporting, and final disposition of unwanted prescription and nonprescription drugs from households and medical facilities that are currently disposed of in municipal solid waste (often to end up in landfills) or flushed into a sewer or septic system.  The bill allows drug producers to conduct their own collection programs or to financially support collection programs operated by counties.</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p w:rsidR="003323D7" w:rsidRPr="003323D7" w:rsidRDefault="003323D7" w:rsidP="003323D7">
            <w:pPr>
              <w:tabs>
                <w:tab w:val="left" w:pos="0"/>
                <w:tab w:val="left" w:pos="1980"/>
                <w:tab w:val="left" w:pos="2340"/>
                <w:tab w:val="left" w:pos="2700"/>
                <w:tab w:val="left" w:pos="3060"/>
              </w:tabs>
              <w:spacing w:after="160"/>
              <w:ind w:right="360"/>
              <w:jc w:val="center"/>
              <w:rPr>
                <w:b/>
              </w:rPr>
            </w:pPr>
            <w:r w:rsidRPr="003323D7">
              <w:rPr>
                <w:b/>
              </w:rPr>
              <w:t>Article 1</w:t>
            </w:r>
          </w:p>
        </w:tc>
      </w:tr>
      <w:tr w:rsidR="002B114A">
        <w:tc>
          <w:tcPr>
            <w:tcW w:w="1195" w:type="dxa"/>
            <w:tcMar>
              <w:right w:w="43" w:type="dxa"/>
            </w:tcMar>
          </w:tcPr>
          <w:p w:rsidR="002B114A" w:rsidRDefault="002B114A">
            <w:pPr>
              <w:pStyle w:val="Sectionnumber"/>
            </w:pPr>
          </w:p>
        </w:tc>
        <w:tc>
          <w:tcPr>
            <w:tcW w:w="9101" w:type="dxa"/>
          </w:tcPr>
          <w:p w:rsidR="002B114A" w:rsidRPr="009F6950" w:rsidRDefault="009F6950">
            <w:pPr>
              <w:pStyle w:val="Sectionnumber"/>
              <w:numPr>
                <w:ilvl w:val="0"/>
                <w:numId w:val="0"/>
              </w:numPr>
              <w:rPr>
                <w:b w:val="0"/>
              </w:rPr>
            </w:pPr>
            <w:r w:rsidRPr="009F6950">
              <w:t>Title</w:t>
            </w:r>
            <w:r>
              <w:t>.</w:t>
            </w:r>
            <w:r>
              <w:rPr>
                <w:b w:val="0"/>
              </w:rPr>
              <w:t xml:space="preserve">  States </w:t>
            </w:r>
            <w:proofErr w:type="gramStart"/>
            <w:r>
              <w:rPr>
                <w:b w:val="0"/>
              </w:rPr>
              <w:t>that sections</w:t>
            </w:r>
            <w:proofErr w:type="gramEnd"/>
            <w:r>
              <w:rPr>
                <w:b w:val="0"/>
              </w:rPr>
              <w:t xml:space="preserve"> 1 through 10 may be cited as the Minnesota Safe Drug Disposal Act of 2010.</w:t>
            </w:r>
          </w:p>
        </w:tc>
      </w:tr>
      <w:tr w:rsidR="009F6950">
        <w:tc>
          <w:tcPr>
            <w:tcW w:w="1195" w:type="dxa"/>
            <w:tcMar>
              <w:right w:w="43" w:type="dxa"/>
            </w:tcMar>
          </w:tcPr>
          <w:p w:rsidR="009F6950" w:rsidRDefault="009F6950">
            <w:pPr>
              <w:pStyle w:val="Sectionnumber"/>
            </w:pPr>
          </w:p>
        </w:tc>
        <w:tc>
          <w:tcPr>
            <w:tcW w:w="9101" w:type="dxa"/>
          </w:tcPr>
          <w:p w:rsidR="009F6950" w:rsidRPr="009F6950" w:rsidRDefault="009F6950" w:rsidP="009F6950">
            <w:pPr>
              <w:pStyle w:val="Sectionnumber"/>
              <w:numPr>
                <w:ilvl w:val="0"/>
                <w:numId w:val="0"/>
              </w:numPr>
              <w:rPr>
                <w:bCs/>
              </w:rPr>
            </w:pPr>
            <w:r>
              <w:rPr>
                <w:bCs/>
              </w:rPr>
              <w:t>Definitions.</w:t>
            </w:r>
          </w:p>
        </w:tc>
      </w:tr>
      <w:tr w:rsidR="009F6950">
        <w:tc>
          <w:tcPr>
            <w:tcW w:w="1195" w:type="dxa"/>
            <w:tcMar>
              <w:right w:w="43" w:type="dxa"/>
            </w:tcMar>
          </w:tcPr>
          <w:p w:rsidR="009F6950" w:rsidRDefault="009F6950">
            <w:pPr>
              <w:pStyle w:val="Sectionnumber"/>
            </w:pPr>
          </w:p>
        </w:tc>
        <w:tc>
          <w:tcPr>
            <w:tcW w:w="9101" w:type="dxa"/>
          </w:tcPr>
          <w:p w:rsidR="009F6950" w:rsidRDefault="009F6950" w:rsidP="009F6950">
            <w:pPr>
              <w:pStyle w:val="Sectionnumber"/>
              <w:numPr>
                <w:ilvl w:val="0"/>
                <w:numId w:val="0"/>
              </w:numPr>
              <w:rPr>
                <w:bCs/>
              </w:rPr>
            </w:pPr>
            <w:r>
              <w:rPr>
                <w:bCs/>
              </w:rPr>
              <w:t>[115A.1412] Registration fee.</w:t>
            </w:r>
          </w:p>
          <w:p w:rsidR="009F6950" w:rsidRPr="009F6950" w:rsidRDefault="00172A2B" w:rsidP="00172A2B">
            <w:pPr>
              <w:pStyle w:val="Sectionnumber"/>
              <w:numPr>
                <w:ilvl w:val="0"/>
                <w:numId w:val="0"/>
              </w:numPr>
              <w:tabs>
                <w:tab w:val="left" w:pos="965"/>
              </w:tabs>
              <w:spacing w:beforeAutospacing="0" w:afterAutospacing="0"/>
              <w:ind w:left="605" w:hanging="14"/>
              <w:rPr>
                <w:b w:val="0"/>
                <w:bCs/>
              </w:rPr>
            </w:pPr>
            <w:r>
              <w:rPr>
                <w:bCs/>
              </w:rPr>
              <w:t xml:space="preserve">     </w:t>
            </w:r>
            <w:r w:rsidR="009F6950">
              <w:rPr>
                <w:bCs/>
              </w:rPr>
              <w:t>Subd. 1. Requirement for sale.</w:t>
            </w:r>
            <w:r w:rsidR="009F6950">
              <w:rPr>
                <w:b w:val="0"/>
                <w:bCs/>
              </w:rPr>
              <w:t xml:space="preserve">  Specifies that a producer may not offer a drug for sale in Minnesota after January 1, 2011</w:t>
            </w:r>
            <w:r>
              <w:rPr>
                <w:b w:val="0"/>
                <w:bCs/>
              </w:rPr>
              <w:t>,</w:t>
            </w:r>
            <w:r w:rsidR="009F6950">
              <w:rPr>
                <w:b w:val="0"/>
                <w:bCs/>
              </w:rPr>
              <w:t xml:space="preserve"> unless the producer has filed a registration with the Pollution Control Agency and paid a registration fee.</w:t>
            </w:r>
          </w:p>
          <w:p w:rsidR="009F6950" w:rsidRDefault="00172A2B" w:rsidP="00172A2B">
            <w:pPr>
              <w:pStyle w:val="Sectionnumber"/>
              <w:numPr>
                <w:ilvl w:val="0"/>
                <w:numId w:val="0"/>
              </w:numPr>
              <w:tabs>
                <w:tab w:val="left" w:pos="965"/>
              </w:tabs>
              <w:spacing w:beforeAutospacing="0" w:afterAutospacing="0"/>
              <w:ind w:left="605" w:hanging="14"/>
              <w:rPr>
                <w:b w:val="0"/>
                <w:bCs/>
              </w:rPr>
            </w:pPr>
            <w:r>
              <w:rPr>
                <w:bCs/>
              </w:rPr>
              <w:t xml:space="preserve">     </w:t>
            </w:r>
            <w:r w:rsidR="009F6950">
              <w:rPr>
                <w:bCs/>
              </w:rPr>
              <w:t>Subd. 2. Producer’s registration.</w:t>
            </w:r>
            <w:r w:rsidR="009F6950">
              <w:rPr>
                <w:b w:val="0"/>
                <w:bCs/>
              </w:rPr>
              <w:t xml:space="preserve">  Specifies the contents of a registration, including an estimate of </w:t>
            </w:r>
            <w:r w:rsidR="00F9486C">
              <w:rPr>
                <w:b w:val="0"/>
                <w:bCs/>
              </w:rPr>
              <w:t xml:space="preserve">the producer’s </w:t>
            </w:r>
            <w:r w:rsidR="009F6950">
              <w:rPr>
                <w:b w:val="0"/>
                <w:bCs/>
              </w:rPr>
              <w:t>Minnesota sales revenues.</w:t>
            </w:r>
          </w:p>
          <w:p w:rsidR="009F6950" w:rsidRDefault="00172A2B" w:rsidP="00172A2B">
            <w:pPr>
              <w:pStyle w:val="Sectionnumber"/>
              <w:numPr>
                <w:ilvl w:val="0"/>
                <w:numId w:val="0"/>
              </w:numPr>
              <w:tabs>
                <w:tab w:val="left" w:pos="965"/>
              </w:tabs>
              <w:spacing w:beforeAutospacing="0" w:afterAutospacing="0"/>
              <w:ind w:left="605" w:hanging="14"/>
              <w:rPr>
                <w:bCs/>
              </w:rPr>
            </w:pPr>
            <w:r>
              <w:rPr>
                <w:bCs/>
              </w:rPr>
              <w:t xml:space="preserve">     </w:t>
            </w:r>
            <w:r w:rsidR="009F6950" w:rsidRPr="009F6950">
              <w:rPr>
                <w:bCs/>
              </w:rPr>
              <w:t>Subd. 3. Producer’s registration fee.</w:t>
            </w:r>
            <w:r w:rsidR="009F6950">
              <w:rPr>
                <w:b w:val="0"/>
                <w:bCs/>
              </w:rPr>
              <w:t xml:space="preserve">  Requires each registered producer to submit </w:t>
            </w:r>
            <w:r w:rsidR="009F6950">
              <w:rPr>
                <w:b w:val="0"/>
                <w:bCs/>
              </w:rPr>
              <w:lastRenderedPageBreak/>
              <w:t>an annual registration fee to the agency to cover the program costs of counties that offer a drug collection program and the agency’s administrative costs.  Exempts from the fee producers who operate their own collection program.</w:t>
            </w:r>
          </w:p>
        </w:tc>
      </w:tr>
      <w:tr w:rsidR="009F6950">
        <w:tc>
          <w:tcPr>
            <w:tcW w:w="1195" w:type="dxa"/>
            <w:tcMar>
              <w:right w:w="43" w:type="dxa"/>
            </w:tcMar>
          </w:tcPr>
          <w:p w:rsidR="009F6950" w:rsidRDefault="009F6950">
            <w:pPr>
              <w:pStyle w:val="Sectionnumber"/>
            </w:pPr>
          </w:p>
        </w:tc>
        <w:tc>
          <w:tcPr>
            <w:tcW w:w="9101" w:type="dxa"/>
          </w:tcPr>
          <w:p w:rsidR="009F6950" w:rsidRDefault="00172A2B" w:rsidP="009F6950">
            <w:pPr>
              <w:pStyle w:val="Sectionnumber"/>
              <w:numPr>
                <w:ilvl w:val="0"/>
                <w:numId w:val="0"/>
              </w:numPr>
              <w:rPr>
                <w:bCs/>
              </w:rPr>
            </w:pPr>
            <w:r>
              <w:t xml:space="preserve">[115A.1413] </w:t>
            </w:r>
            <w:r w:rsidR="0022026D">
              <w:rPr>
                <w:bCs/>
              </w:rPr>
              <w:t>Unwanted products collection program.</w:t>
            </w:r>
          </w:p>
          <w:p w:rsidR="0022026D" w:rsidRDefault="00172A2B" w:rsidP="00172A2B">
            <w:pPr>
              <w:pStyle w:val="Sectionnumber"/>
              <w:numPr>
                <w:ilvl w:val="0"/>
                <w:numId w:val="0"/>
              </w:numPr>
              <w:tabs>
                <w:tab w:val="left" w:pos="965"/>
              </w:tabs>
              <w:spacing w:beforeAutospacing="0" w:afterAutospacing="0"/>
              <w:ind w:left="605" w:hanging="14"/>
              <w:rPr>
                <w:b w:val="0"/>
                <w:bCs/>
              </w:rPr>
            </w:pPr>
            <w:r>
              <w:rPr>
                <w:bCs/>
              </w:rPr>
              <w:t xml:space="preserve">     </w:t>
            </w:r>
            <w:r w:rsidR="0022026D">
              <w:rPr>
                <w:bCs/>
              </w:rPr>
              <w:t>Subd. 1. Program requirements.</w:t>
            </w:r>
            <w:r w:rsidR="0022026D">
              <w:rPr>
                <w:b w:val="0"/>
                <w:bCs/>
              </w:rPr>
              <w:t xml:space="preserve">  Specifies required program elements, including:</w:t>
            </w:r>
          </w:p>
          <w:p w:rsidR="0022026D" w:rsidRDefault="00F9486C" w:rsidP="009D739E">
            <w:pPr>
              <w:pStyle w:val="Sectionnumber"/>
              <w:numPr>
                <w:ilvl w:val="0"/>
                <w:numId w:val="29"/>
              </w:numPr>
              <w:ind w:left="1505"/>
              <w:rPr>
                <w:b w:val="0"/>
                <w:bCs/>
              </w:rPr>
            </w:pPr>
            <w:r>
              <w:rPr>
                <w:b w:val="0"/>
                <w:bCs/>
              </w:rPr>
              <w:t>a</w:t>
            </w:r>
            <w:r w:rsidR="0022026D">
              <w:rPr>
                <w:b w:val="0"/>
                <w:bCs/>
              </w:rPr>
              <w:t>ll drugs must be accepted, regardless of manufacturer;</w:t>
            </w:r>
          </w:p>
          <w:p w:rsidR="0022026D" w:rsidRDefault="00F9486C" w:rsidP="009D739E">
            <w:pPr>
              <w:pStyle w:val="Sectionnumber"/>
              <w:numPr>
                <w:ilvl w:val="0"/>
                <w:numId w:val="29"/>
              </w:numPr>
              <w:ind w:left="1505"/>
              <w:rPr>
                <w:b w:val="0"/>
                <w:bCs/>
              </w:rPr>
            </w:pPr>
            <w:r>
              <w:rPr>
                <w:b w:val="0"/>
                <w:bCs/>
              </w:rPr>
              <w:t>r</w:t>
            </w:r>
            <w:r w:rsidR="0022026D">
              <w:rPr>
                <w:b w:val="0"/>
                <w:bCs/>
              </w:rPr>
              <w:t>esidential generators may not be charged for the program; and</w:t>
            </w:r>
          </w:p>
          <w:p w:rsidR="0022026D" w:rsidRDefault="00F9486C" w:rsidP="009D739E">
            <w:pPr>
              <w:pStyle w:val="Sectionnumber"/>
              <w:numPr>
                <w:ilvl w:val="0"/>
                <w:numId w:val="29"/>
              </w:numPr>
              <w:ind w:left="1505"/>
              <w:rPr>
                <w:b w:val="0"/>
                <w:bCs/>
              </w:rPr>
            </w:pPr>
            <w:proofErr w:type="gramStart"/>
            <w:r>
              <w:rPr>
                <w:b w:val="0"/>
                <w:bCs/>
              </w:rPr>
              <w:t>c</w:t>
            </w:r>
            <w:r w:rsidR="0022026D">
              <w:rPr>
                <w:b w:val="0"/>
                <w:bCs/>
              </w:rPr>
              <w:t>onvenient</w:t>
            </w:r>
            <w:proofErr w:type="gramEnd"/>
            <w:r w:rsidR="0022026D">
              <w:rPr>
                <w:b w:val="0"/>
                <w:bCs/>
              </w:rPr>
              <w:t xml:space="preserve"> collection sites must be offered.</w:t>
            </w:r>
          </w:p>
          <w:p w:rsidR="0022026D" w:rsidRDefault="00172A2B" w:rsidP="00172A2B">
            <w:pPr>
              <w:pStyle w:val="Sectionnumber"/>
              <w:numPr>
                <w:ilvl w:val="0"/>
                <w:numId w:val="0"/>
              </w:numPr>
              <w:tabs>
                <w:tab w:val="left" w:pos="965"/>
              </w:tabs>
              <w:spacing w:beforeAutospacing="0" w:afterAutospacing="0"/>
              <w:ind w:left="605" w:hanging="14"/>
              <w:rPr>
                <w:b w:val="0"/>
                <w:bCs/>
              </w:rPr>
            </w:pPr>
            <w:r>
              <w:rPr>
                <w:bCs/>
              </w:rPr>
              <w:t xml:space="preserve">     </w:t>
            </w:r>
            <w:r w:rsidR="009D739E">
              <w:rPr>
                <w:bCs/>
              </w:rPr>
              <w:t>Subd. 2</w:t>
            </w:r>
            <w:r w:rsidR="0022026D" w:rsidRPr="0022026D">
              <w:rPr>
                <w:bCs/>
              </w:rPr>
              <w:t>. Program plan.</w:t>
            </w:r>
            <w:r w:rsidR="0022026D">
              <w:rPr>
                <w:b w:val="0"/>
                <w:bCs/>
              </w:rPr>
              <w:t xml:space="preserve">  Requires each entity offering a drug collection program to submit a program plan describing how the program will operate to the agency for review and approval.</w:t>
            </w:r>
          </w:p>
          <w:p w:rsidR="0022026D" w:rsidRPr="0022026D" w:rsidRDefault="00172A2B" w:rsidP="00172A2B">
            <w:pPr>
              <w:pStyle w:val="Sectionnumber"/>
              <w:numPr>
                <w:ilvl w:val="0"/>
                <w:numId w:val="0"/>
              </w:numPr>
              <w:tabs>
                <w:tab w:val="left" w:pos="965"/>
              </w:tabs>
              <w:spacing w:beforeAutospacing="0" w:afterAutospacing="0"/>
              <w:ind w:left="605" w:hanging="14"/>
              <w:rPr>
                <w:b w:val="0"/>
                <w:bCs/>
              </w:rPr>
            </w:pPr>
            <w:r>
              <w:rPr>
                <w:bCs/>
              </w:rPr>
              <w:t xml:space="preserve">     </w:t>
            </w:r>
            <w:r w:rsidR="009D739E">
              <w:rPr>
                <w:bCs/>
              </w:rPr>
              <w:t>Subd. 3</w:t>
            </w:r>
            <w:r w:rsidR="0022026D" w:rsidRPr="0022026D">
              <w:rPr>
                <w:bCs/>
              </w:rPr>
              <w:t>. Election.</w:t>
            </w:r>
            <w:r w:rsidR="0022026D">
              <w:rPr>
                <w:b w:val="0"/>
                <w:bCs/>
              </w:rPr>
              <w:t xml:space="preserve">  Allows the Western Lake Superior Sanitary District to operate a collection program with authority and responsibilities identical to those of any county operating a program.</w:t>
            </w:r>
          </w:p>
        </w:tc>
      </w:tr>
      <w:tr w:rsidR="0022026D">
        <w:tc>
          <w:tcPr>
            <w:tcW w:w="1195" w:type="dxa"/>
            <w:tcMar>
              <w:right w:w="43" w:type="dxa"/>
            </w:tcMar>
          </w:tcPr>
          <w:p w:rsidR="0022026D" w:rsidRDefault="0022026D" w:rsidP="0022026D">
            <w:pPr>
              <w:pStyle w:val="Sectionnumber"/>
            </w:pPr>
          </w:p>
        </w:tc>
        <w:tc>
          <w:tcPr>
            <w:tcW w:w="9101" w:type="dxa"/>
          </w:tcPr>
          <w:p w:rsidR="0022026D" w:rsidRPr="0022026D" w:rsidRDefault="00172A2B" w:rsidP="00F9486C">
            <w:pPr>
              <w:pStyle w:val="Sectionnumber"/>
              <w:numPr>
                <w:ilvl w:val="0"/>
                <w:numId w:val="0"/>
              </w:numPr>
              <w:rPr>
                <w:b w:val="0"/>
                <w:bCs/>
              </w:rPr>
            </w:pPr>
            <w:r>
              <w:t xml:space="preserve">[115A.1414] </w:t>
            </w:r>
            <w:r w:rsidR="0022026D">
              <w:t xml:space="preserve">Final disposition of unwanted products.  </w:t>
            </w:r>
            <w:r w:rsidR="0022026D">
              <w:rPr>
                <w:b w:val="0"/>
              </w:rPr>
              <w:t xml:space="preserve">Provides that </w:t>
            </w:r>
            <w:r w:rsidR="00F9486C">
              <w:rPr>
                <w:b w:val="0"/>
              </w:rPr>
              <w:t xml:space="preserve">a </w:t>
            </w:r>
            <w:r w:rsidR="0022026D">
              <w:rPr>
                <w:b w:val="0"/>
              </w:rPr>
              <w:t xml:space="preserve">collection </w:t>
            </w:r>
            <w:r w:rsidR="00F9486C">
              <w:rPr>
                <w:b w:val="0"/>
              </w:rPr>
              <w:t>program</w:t>
            </w:r>
            <w:r w:rsidR="0022026D">
              <w:rPr>
                <w:b w:val="0"/>
              </w:rPr>
              <w:t xml:space="preserve"> must comply with all applicable state and federal laws.</w:t>
            </w:r>
          </w:p>
        </w:tc>
      </w:tr>
      <w:tr w:rsidR="0022026D">
        <w:tc>
          <w:tcPr>
            <w:tcW w:w="1195" w:type="dxa"/>
            <w:tcMar>
              <w:right w:w="43" w:type="dxa"/>
            </w:tcMar>
          </w:tcPr>
          <w:p w:rsidR="0022026D" w:rsidRDefault="0022026D" w:rsidP="0022026D">
            <w:pPr>
              <w:pStyle w:val="Sectionnumber"/>
            </w:pPr>
          </w:p>
        </w:tc>
        <w:tc>
          <w:tcPr>
            <w:tcW w:w="9101" w:type="dxa"/>
          </w:tcPr>
          <w:p w:rsidR="0022026D" w:rsidRDefault="00172A2B" w:rsidP="0022026D">
            <w:pPr>
              <w:pStyle w:val="Sectionnumber"/>
              <w:numPr>
                <w:ilvl w:val="0"/>
                <w:numId w:val="0"/>
              </w:numPr>
              <w:rPr>
                <w:b w:val="0"/>
              </w:rPr>
            </w:pPr>
            <w:r>
              <w:t xml:space="preserve">[115A.1415] </w:t>
            </w:r>
            <w:r w:rsidR="0022026D">
              <w:t>Reports.</w:t>
            </w:r>
            <w:r w:rsidR="0022026D">
              <w:rPr>
                <w:b w:val="0"/>
              </w:rPr>
              <w:t xml:space="preserve">  Specifies the contents of an annual report required, beginning January 1, 2012, of each entity operating a collection program, including:</w:t>
            </w:r>
          </w:p>
          <w:p w:rsidR="0022026D" w:rsidRDefault="00F15312" w:rsidP="0022026D">
            <w:pPr>
              <w:pStyle w:val="Sectionnumber"/>
              <w:numPr>
                <w:ilvl w:val="0"/>
                <w:numId w:val="30"/>
              </w:numPr>
              <w:rPr>
                <w:b w:val="0"/>
              </w:rPr>
            </w:pPr>
            <w:r>
              <w:rPr>
                <w:b w:val="0"/>
              </w:rPr>
              <w:t>t</w:t>
            </w:r>
            <w:r w:rsidR="0022026D">
              <w:rPr>
                <w:b w:val="0"/>
              </w:rPr>
              <w:t>he weight of prod</w:t>
            </w:r>
            <w:r w:rsidR="00F9486C">
              <w:rPr>
                <w:b w:val="0"/>
              </w:rPr>
              <w:t>ucts collected at each collection</w:t>
            </w:r>
            <w:r w:rsidR="0022026D">
              <w:rPr>
                <w:b w:val="0"/>
              </w:rPr>
              <w:t xml:space="preserve"> site</w:t>
            </w:r>
            <w:r>
              <w:rPr>
                <w:b w:val="0"/>
              </w:rPr>
              <w:t>, with controlled</w:t>
            </w:r>
            <w:r w:rsidR="009D739E">
              <w:rPr>
                <w:b w:val="0"/>
              </w:rPr>
              <w:t xml:space="preserve"> substances reported separately;</w:t>
            </w:r>
          </w:p>
          <w:p w:rsidR="00F15312" w:rsidRDefault="00F15312" w:rsidP="0022026D">
            <w:pPr>
              <w:pStyle w:val="Sectionnumber"/>
              <w:numPr>
                <w:ilvl w:val="0"/>
                <w:numId w:val="30"/>
              </w:numPr>
              <w:rPr>
                <w:b w:val="0"/>
              </w:rPr>
            </w:pPr>
            <w:r>
              <w:rPr>
                <w:b w:val="0"/>
              </w:rPr>
              <w:t>the location of facilities to which collected drugs are taken for final disposition; and</w:t>
            </w:r>
          </w:p>
          <w:p w:rsidR="00F15312" w:rsidRDefault="00F15312" w:rsidP="0022026D">
            <w:pPr>
              <w:pStyle w:val="Sectionnumber"/>
              <w:numPr>
                <w:ilvl w:val="0"/>
                <w:numId w:val="30"/>
              </w:numPr>
              <w:rPr>
                <w:b w:val="0"/>
              </w:rPr>
            </w:pPr>
            <w:proofErr w:type="gramStart"/>
            <w:r>
              <w:rPr>
                <w:b w:val="0"/>
              </w:rPr>
              <w:t>a</w:t>
            </w:r>
            <w:proofErr w:type="gramEnd"/>
            <w:r>
              <w:rPr>
                <w:b w:val="0"/>
              </w:rPr>
              <w:t xml:space="preserve"> description of education and outreach activities implemented, and an evaluation of their effect.</w:t>
            </w:r>
          </w:p>
          <w:p w:rsidR="00F15312" w:rsidRPr="0022026D" w:rsidRDefault="00F15312" w:rsidP="00F15312">
            <w:pPr>
              <w:pStyle w:val="Sectionnumber"/>
              <w:numPr>
                <w:ilvl w:val="0"/>
                <w:numId w:val="0"/>
              </w:numPr>
              <w:rPr>
                <w:b w:val="0"/>
              </w:rPr>
            </w:pPr>
            <w:r>
              <w:rPr>
                <w:b w:val="0"/>
              </w:rPr>
              <w:t>The agenc</w:t>
            </w:r>
            <w:r w:rsidR="009D739E">
              <w:rPr>
                <w:b w:val="0"/>
              </w:rPr>
              <w:t>y is to submit a report to the l</w:t>
            </w:r>
            <w:r>
              <w:rPr>
                <w:b w:val="0"/>
              </w:rPr>
              <w:t>egislature by January 1, 2013, recommending methods to estimate the proportion of drugs collected by all the collection programs.</w:t>
            </w:r>
          </w:p>
        </w:tc>
      </w:tr>
      <w:tr w:rsidR="00F15312">
        <w:tc>
          <w:tcPr>
            <w:tcW w:w="1195" w:type="dxa"/>
            <w:tcMar>
              <w:right w:w="43" w:type="dxa"/>
            </w:tcMar>
          </w:tcPr>
          <w:p w:rsidR="00F15312" w:rsidRDefault="00F15312" w:rsidP="0022026D">
            <w:pPr>
              <w:pStyle w:val="Sectionnumber"/>
            </w:pPr>
          </w:p>
        </w:tc>
        <w:tc>
          <w:tcPr>
            <w:tcW w:w="9101" w:type="dxa"/>
          </w:tcPr>
          <w:p w:rsidR="00F15312" w:rsidRPr="00F15312" w:rsidRDefault="00172A2B" w:rsidP="0022026D">
            <w:pPr>
              <w:pStyle w:val="Sectionnumber"/>
              <w:numPr>
                <w:ilvl w:val="0"/>
                <w:numId w:val="0"/>
              </w:numPr>
              <w:rPr>
                <w:b w:val="0"/>
              </w:rPr>
            </w:pPr>
            <w:r>
              <w:t xml:space="preserve">[115A.1416] </w:t>
            </w:r>
            <w:r w:rsidR="00F15312">
              <w:t>Account; appropriation.</w:t>
            </w:r>
            <w:r w:rsidR="00F15312">
              <w:rPr>
                <w:b w:val="0"/>
              </w:rPr>
              <w:t xml:space="preserve">  Establishes the pharmaceutical waste account in the environmental fund, in which all registration fees are to be deposited and from which the commissioner is to reimburse the costs of county collection programs.</w:t>
            </w:r>
          </w:p>
        </w:tc>
      </w:tr>
      <w:tr w:rsidR="00F15312">
        <w:tc>
          <w:tcPr>
            <w:tcW w:w="1195" w:type="dxa"/>
            <w:tcMar>
              <w:right w:w="43" w:type="dxa"/>
            </w:tcMar>
          </w:tcPr>
          <w:p w:rsidR="00F15312" w:rsidRDefault="00F15312" w:rsidP="0022026D">
            <w:pPr>
              <w:pStyle w:val="Sectionnumber"/>
            </w:pPr>
          </w:p>
        </w:tc>
        <w:tc>
          <w:tcPr>
            <w:tcW w:w="9101" w:type="dxa"/>
          </w:tcPr>
          <w:p w:rsidR="00F15312" w:rsidRPr="00F15312" w:rsidRDefault="00172A2B" w:rsidP="0022026D">
            <w:pPr>
              <w:pStyle w:val="Sectionnumber"/>
              <w:numPr>
                <w:ilvl w:val="0"/>
                <w:numId w:val="0"/>
              </w:numPr>
              <w:rPr>
                <w:b w:val="0"/>
              </w:rPr>
            </w:pPr>
            <w:r>
              <w:t xml:space="preserve">[115A.1417] </w:t>
            </w:r>
            <w:r w:rsidR="00F15312">
              <w:t>Agency duties.</w:t>
            </w:r>
            <w:r w:rsidR="00F15312">
              <w:rPr>
                <w:b w:val="0"/>
              </w:rPr>
              <w:t xml:space="preserve">  Specifies agency duties under the collection program.</w:t>
            </w:r>
          </w:p>
        </w:tc>
      </w:tr>
      <w:tr w:rsidR="00F15312">
        <w:tc>
          <w:tcPr>
            <w:tcW w:w="1195" w:type="dxa"/>
            <w:tcMar>
              <w:right w:w="43" w:type="dxa"/>
            </w:tcMar>
          </w:tcPr>
          <w:p w:rsidR="00F15312" w:rsidRDefault="00F15312" w:rsidP="00F15312">
            <w:pPr>
              <w:pStyle w:val="Sectionnumber"/>
            </w:pPr>
            <w:r>
              <w:t xml:space="preserve">  </w:t>
            </w:r>
          </w:p>
        </w:tc>
        <w:tc>
          <w:tcPr>
            <w:tcW w:w="9101" w:type="dxa"/>
          </w:tcPr>
          <w:p w:rsidR="00F15312" w:rsidRPr="00F15312" w:rsidRDefault="00172A2B" w:rsidP="0022026D">
            <w:pPr>
              <w:pStyle w:val="Sectionnumber"/>
              <w:numPr>
                <w:ilvl w:val="0"/>
                <w:numId w:val="0"/>
              </w:numPr>
              <w:rPr>
                <w:b w:val="0"/>
              </w:rPr>
            </w:pPr>
            <w:r>
              <w:t xml:space="preserve">[115A.1418] </w:t>
            </w:r>
            <w:r w:rsidR="00F15312">
              <w:t>Other collection programs.</w:t>
            </w:r>
            <w:r w:rsidR="00F15312">
              <w:rPr>
                <w:b w:val="0"/>
              </w:rPr>
              <w:t xml:space="preserve">  Allows for other drug collection programs to operate in this state, provided they register with the agency, report on their activities, and comply with all applicable state and federal laws.  Prohibits a public agency from requiring households to use a public collection program.</w:t>
            </w:r>
          </w:p>
        </w:tc>
      </w:tr>
      <w:tr w:rsidR="00F15312">
        <w:tc>
          <w:tcPr>
            <w:tcW w:w="1195" w:type="dxa"/>
            <w:tcMar>
              <w:right w:w="43" w:type="dxa"/>
            </w:tcMar>
          </w:tcPr>
          <w:p w:rsidR="00F15312" w:rsidRDefault="00F15312" w:rsidP="00F15312">
            <w:pPr>
              <w:pStyle w:val="Sectionnumber"/>
            </w:pPr>
          </w:p>
        </w:tc>
        <w:tc>
          <w:tcPr>
            <w:tcW w:w="9101" w:type="dxa"/>
          </w:tcPr>
          <w:p w:rsidR="00F15312" w:rsidRPr="00F15312" w:rsidRDefault="00172A2B" w:rsidP="00F9486C">
            <w:pPr>
              <w:pStyle w:val="Sectionnumber"/>
              <w:numPr>
                <w:ilvl w:val="0"/>
                <w:numId w:val="0"/>
              </w:numPr>
              <w:rPr>
                <w:b w:val="0"/>
              </w:rPr>
            </w:pPr>
            <w:r>
              <w:t xml:space="preserve">[115A.1419] </w:t>
            </w:r>
            <w:r w:rsidR="00F15312">
              <w:t>Anticompetitive conduct.</w:t>
            </w:r>
            <w:r w:rsidR="00F15312">
              <w:rPr>
                <w:b w:val="0"/>
              </w:rPr>
              <w:t xml:space="preserve">  </w:t>
            </w:r>
            <w:r w:rsidR="003323D7">
              <w:rPr>
                <w:b w:val="0"/>
              </w:rPr>
              <w:t>Provides immunity to producers who o</w:t>
            </w:r>
            <w:r w:rsidR="00F9486C">
              <w:rPr>
                <w:b w:val="0"/>
              </w:rPr>
              <w:t>perat</w:t>
            </w:r>
            <w:r w:rsidR="003323D7">
              <w:rPr>
                <w:b w:val="0"/>
              </w:rPr>
              <w:t xml:space="preserve">e a collection </w:t>
            </w:r>
            <w:r w:rsidR="00F9486C">
              <w:rPr>
                <w:b w:val="0"/>
              </w:rPr>
              <w:t>program of their own or through a</w:t>
            </w:r>
            <w:r w:rsidR="003323D7">
              <w:rPr>
                <w:b w:val="0"/>
              </w:rPr>
              <w:t xml:space="preserve"> product stewardship organization, or that cooperates with a political subdivision that</w:t>
            </w:r>
            <w:r w:rsidR="00F9486C">
              <w:rPr>
                <w:b w:val="0"/>
              </w:rPr>
              <w:t xml:space="preserve"> operates a program</w:t>
            </w:r>
            <w:r w:rsidR="003323D7">
              <w:rPr>
                <w:b w:val="0"/>
              </w:rPr>
              <w:t>, from liability under state laws regarding antitrust and restraint of trade practices, to the extent necessary to implement the collection system.</w:t>
            </w:r>
          </w:p>
        </w:tc>
      </w:tr>
      <w:tr w:rsidR="003323D7">
        <w:tc>
          <w:tcPr>
            <w:tcW w:w="1195" w:type="dxa"/>
            <w:tcMar>
              <w:right w:w="43" w:type="dxa"/>
            </w:tcMar>
          </w:tcPr>
          <w:p w:rsidR="003323D7" w:rsidRDefault="003323D7" w:rsidP="00F15312">
            <w:pPr>
              <w:pStyle w:val="Sectionnumber"/>
            </w:pPr>
          </w:p>
        </w:tc>
        <w:tc>
          <w:tcPr>
            <w:tcW w:w="9101" w:type="dxa"/>
          </w:tcPr>
          <w:p w:rsidR="00172A2B" w:rsidRDefault="00172A2B" w:rsidP="003323D7">
            <w:pPr>
              <w:pStyle w:val="Sectionnumber"/>
              <w:numPr>
                <w:ilvl w:val="0"/>
                <w:numId w:val="0"/>
              </w:numPr>
            </w:pPr>
            <w:r>
              <w:t>[115A.1420]</w:t>
            </w:r>
            <w:r w:rsidR="003323D7">
              <w:t xml:space="preserve"> Enforcement.</w:t>
            </w:r>
          </w:p>
          <w:p w:rsidR="00172A2B" w:rsidRPr="00172A2B" w:rsidRDefault="00172A2B" w:rsidP="00172A2B">
            <w:pPr>
              <w:pStyle w:val="Sectionnumber"/>
              <w:numPr>
                <w:ilvl w:val="0"/>
                <w:numId w:val="0"/>
              </w:numPr>
              <w:tabs>
                <w:tab w:val="left" w:pos="965"/>
              </w:tabs>
              <w:spacing w:beforeAutospacing="0" w:afterAutospacing="0"/>
              <w:ind w:left="605" w:hanging="14"/>
              <w:rPr>
                <w:b w:val="0"/>
              </w:rPr>
            </w:pPr>
            <w:r>
              <w:t xml:space="preserve">     </w:t>
            </w:r>
            <w:r w:rsidR="003323D7">
              <w:t>Subd. 1. Generally.</w:t>
            </w:r>
            <w:r w:rsidR="003323D7">
              <w:rPr>
                <w:b w:val="0"/>
              </w:rPr>
              <w:t xml:space="preserve">  Specifies that the provisions of article 1 shall be enforced under the agency’s enforcement authorities.</w:t>
            </w:r>
          </w:p>
          <w:p w:rsidR="003323D7" w:rsidRDefault="00172A2B" w:rsidP="00172A2B">
            <w:pPr>
              <w:pStyle w:val="Sectionnumber"/>
              <w:numPr>
                <w:ilvl w:val="0"/>
                <w:numId w:val="0"/>
              </w:numPr>
              <w:tabs>
                <w:tab w:val="left" w:pos="965"/>
              </w:tabs>
              <w:spacing w:beforeAutospacing="0" w:afterAutospacing="0"/>
              <w:ind w:left="605" w:hanging="14"/>
              <w:rPr>
                <w:b w:val="0"/>
              </w:rPr>
            </w:pPr>
            <w:r>
              <w:t xml:space="preserve">     </w:t>
            </w:r>
            <w:r w:rsidR="003323D7" w:rsidRPr="003323D7">
              <w:t>Subd. 2. Producer penalties.</w:t>
            </w:r>
            <w:r w:rsidR="003323D7">
              <w:rPr>
                <w:b w:val="0"/>
              </w:rPr>
              <w:t xml:space="preserve"> Provides for penalties, up to $10,000 per day, for a producer who sells drugs in this state without filing a complete registration or paying a registration fee.</w:t>
            </w:r>
          </w:p>
          <w:p w:rsidR="003323D7" w:rsidRPr="00172A2B" w:rsidRDefault="00172A2B" w:rsidP="00172A2B">
            <w:pPr>
              <w:pStyle w:val="Sectionnumber"/>
              <w:numPr>
                <w:ilvl w:val="0"/>
                <w:numId w:val="0"/>
              </w:numPr>
              <w:tabs>
                <w:tab w:val="left" w:pos="965"/>
              </w:tabs>
              <w:spacing w:beforeAutospacing="0" w:afterAutospacing="0"/>
              <w:ind w:left="605" w:hanging="14"/>
              <w:rPr>
                <w:b w:val="0"/>
              </w:rPr>
            </w:pPr>
            <w:r>
              <w:t xml:space="preserve">     </w:t>
            </w:r>
            <w:r w:rsidR="003323D7" w:rsidRPr="003323D7">
              <w:t>Subd. 3. Wholesaler penalties.</w:t>
            </w:r>
            <w:r w:rsidR="003323D7">
              <w:rPr>
                <w:b w:val="0"/>
              </w:rPr>
              <w:t xml:space="preserve">  Provides for penalties, up to $1,000 per day, for a drug wholesaler who sells drugs in this state from a producer who has failed to file a complete registration or pay a registration fee.</w:t>
            </w:r>
          </w:p>
        </w:tc>
      </w:tr>
    </w:tbl>
    <w:p w:rsidR="00172A2B" w:rsidRDefault="00172A2B" w:rsidP="006C4A9F">
      <w:pPr>
        <w:pStyle w:val="Sectionnumber"/>
        <w:numPr>
          <w:ilvl w:val="0"/>
          <w:numId w:val="0"/>
        </w:numPr>
        <w:sectPr w:rsidR="00172A2B">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tblPr>
      <w:tblGrid>
        <w:gridCol w:w="1195"/>
        <w:gridCol w:w="9101"/>
      </w:tblGrid>
      <w:tr w:rsidR="00172A2B" w:rsidTr="00172A2B">
        <w:tc>
          <w:tcPr>
            <w:tcW w:w="10296" w:type="dxa"/>
            <w:gridSpan w:val="2"/>
            <w:tcMar>
              <w:top w:w="288" w:type="dxa"/>
              <w:bottom w:w="115" w:type="dxa"/>
              <w:right w:w="43" w:type="dxa"/>
            </w:tcMar>
          </w:tcPr>
          <w:p w:rsidR="00172A2B" w:rsidRPr="00172A2B" w:rsidRDefault="00172A2B" w:rsidP="00172A2B">
            <w:pPr>
              <w:pStyle w:val="Heading1"/>
            </w:pPr>
            <w:r>
              <w:t>Article 2</w:t>
            </w:r>
          </w:p>
        </w:tc>
      </w:tr>
      <w:tr w:rsidR="006C4A9F">
        <w:tc>
          <w:tcPr>
            <w:tcW w:w="1195" w:type="dxa"/>
            <w:tcMar>
              <w:right w:w="43" w:type="dxa"/>
            </w:tcMar>
          </w:tcPr>
          <w:p w:rsidR="006C4A9F" w:rsidRDefault="006C4A9F" w:rsidP="00172A2B">
            <w:pPr>
              <w:pStyle w:val="Sectionnumber"/>
              <w:numPr>
                <w:ilvl w:val="0"/>
                <w:numId w:val="32"/>
              </w:numPr>
            </w:pPr>
          </w:p>
        </w:tc>
        <w:tc>
          <w:tcPr>
            <w:tcW w:w="9101" w:type="dxa"/>
          </w:tcPr>
          <w:p w:rsidR="006C4A9F" w:rsidRDefault="006C4A9F" w:rsidP="0022026D">
            <w:pPr>
              <w:pStyle w:val="Sectionnumber"/>
              <w:numPr>
                <w:ilvl w:val="0"/>
                <w:numId w:val="0"/>
              </w:numPr>
              <w:rPr>
                <w:b w:val="0"/>
              </w:rPr>
            </w:pPr>
            <w:r>
              <w:t>[144.569] Handling of pharmaceutical waste in health care facilities.</w:t>
            </w:r>
            <w:r>
              <w:rPr>
                <w:b w:val="0"/>
              </w:rPr>
              <w:t xml:space="preserve">  </w:t>
            </w:r>
          </w:p>
          <w:p w:rsidR="006C4A9F" w:rsidRDefault="00172A2B" w:rsidP="00172A2B">
            <w:pPr>
              <w:pStyle w:val="Sectionnumber"/>
              <w:numPr>
                <w:ilvl w:val="0"/>
                <w:numId w:val="0"/>
              </w:numPr>
              <w:tabs>
                <w:tab w:val="left" w:pos="965"/>
              </w:tabs>
              <w:spacing w:beforeAutospacing="0" w:afterAutospacing="0"/>
              <w:ind w:left="605" w:hanging="14"/>
              <w:rPr>
                <w:b w:val="0"/>
              </w:rPr>
            </w:pPr>
            <w:r>
              <w:t xml:space="preserve">     </w:t>
            </w:r>
            <w:r w:rsidR="006C4A9F" w:rsidRPr="006C4A9F">
              <w:t>Subd. 1. Pharmaceutical waste disposal.</w:t>
            </w:r>
            <w:r w:rsidR="006C4A9F">
              <w:rPr>
                <w:b w:val="0"/>
              </w:rPr>
              <w:t xml:space="preserve"> Prohibits regulated health care facilities from flushing drugs into the sewer or septic system</w:t>
            </w:r>
          </w:p>
          <w:p w:rsidR="006C4A9F" w:rsidRPr="006C4A9F" w:rsidRDefault="00172A2B" w:rsidP="00172A2B">
            <w:pPr>
              <w:pStyle w:val="Sectionnumber"/>
              <w:numPr>
                <w:ilvl w:val="0"/>
                <w:numId w:val="0"/>
              </w:numPr>
              <w:tabs>
                <w:tab w:val="left" w:pos="965"/>
              </w:tabs>
              <w:spacing w:beforeAutospacing="0" w:afterAutospacing="0"/>
              <w:ind w:left="605" w:hanging="14"/>
              <w:rPr>
                <w:b w:val="0"/>
              </w:rPr>
            </w:pPr>
            <w:r>
              <w:t xml:space="preserve">     </w:t>
            </w:r>
            <w:r w:rsidR="006C4A9F" w:rsidRPr="006C4A9F">
              <w:t>Subd. 2. Penalty.</w:t>
            </w:r>
            <w:r w:rsidR="006C4A9F">
              <w:rPr>
                <w:b w:val="0"/>
              </w:rPr>
              <w:t xml:space="preserve"> Provides for a civil penalty of up to $10,000 for each separate violation of subdivision 1.</w:t>
            </w:r>
          </w:p>
        </w:tc>
      </w:tr>
      <w:tr w:rsidR="006C4A9F">
        <w:tc>
          <w:tcPr>
            <w:tcW w:w="1195" w:type="dxa"/>
            <w:tcMar>
              <w:right w:w="43" w:type="dxa"/>
            </w:tcMar>
          </w:tcPr>
          <w:p w:rsidR="006C4A9F" w:rsidRDefault="006C4A9F" w:rsidP="00172A2B">
            <w:pPr>
              <w:pStyle w:val="Sectionnumber"/>
            </w:pPr>
          </w:p>
        </w:tc>
        <w:tc>
          <w:tcPr>
            <w:tcW w:w="9101" w:type="dxa"/>
          </w:tcPr>
          <w:p w:rsidR="006C4A9F" w:rsidRPr="006C4A9F" w:rsidRDefault="006C4A9F" w:rsidP="0022026D">
            <w:pPr>
              <w:pStyle w:val="Sectionnumber"/>
              <w:numPr>
                <w:ilvl w:val="0"/>
                <w:numId w:val="0"/>
              </w:numPr>
              <w:rPr>
                <w:b w:val="0"/>
              </w:rPr>
            </w:pPr>
            <w:r>
              <w:t>[151.37, subd. 6]  Exclusion for course of employment.</w:t>
            </w:r>
            <w:r>
              <w:rPr>
                <w:b w:val="0"/>
              </w:rPr>
              <w:t xml:space="preserve">  Allows possession of a prescription drug fo</w:t>
            </w:r>
            <w:r w:rsidR="00F9486C">
              <w:rPr>
                <w:b w:val="0"/>
              </w:rPr>
              <w:t>r the purpose of its disposal by</w:t>
            </w:r>
            <w:r>
              <w:rPr>
                <w:b w:val="0"/>
              </w:rPr>
              <w:t>: a law enforcement officer; a licensed hazardous waste transporter or storage or treatment facility; a facility licensed by the agency to generate small quantities of hazardous waste; an operator of a collection program under article 1.</w:t>
            </w:r>
          </w:p>
        </w:tc>
      </w:tr>
      <w:tr w:rsidR="006C4A9F">
        <w:tc>
          <w:tcPr>
            <w:tcW w:w="1195" w:type="dxa"/>
            <w:tcMar>
              <w:right w:w="43" w:type="dxa"/>
            </w:tcMar>
          </w:tcPr>
          <w:p w:rsidR="006C4A9F" w:rsidRDefault="006C4A9F" w:rsidP="00172A2B">
            <w:pPr>
              <w:pStyle w:val="Sectionnumber"/>
            </w:pPr>
          </w:p>
        </w:tc>
        <w:tc>
          <w:tcPr>
            <w:tcW w:w="9101" w:type="dxa"/>
          </w:tcPr>
          <w:p w:rsidR="006C4A9F" w:rsidRPr="006C4A9F" w:rsidRDefault="006C4A9F" w:rsidP="0068338F">
            <w:pPr>
              <w:pStyle w:val="Sectionnumber"/>
              <w:numPr>
                <w:ilvl w:val="0"/>
                <w:numId w:val="0"/>
              </w:numPr>
              <w:rPr>
                <w:b w:val="0"/>
              </w:rPr>
            </w:pPr>
            <w:r>
              <w:t>[151.37, subd. 7] Exclusion for prescriptions.</w:t>
            </w:r>
            <w:r>
              <w:rPr>
                <w:b w:val="0"/>
              </w:rPr>
              <w:t xml:space="preserve">  Allows a person for whom a prescription drug has been prescribed to transfer </w:t>
            </w:r>
            <w:r w:rsidR="0068338F">
              <w:rPr>
                <w:b w:val="0"/>
              </w:rPr>
              <w:t xml:space="preserve">it </w:t>
            </w:r>
            <w:r>
              <w:rPr>
                <w:b w:val="0"/>
              </w:rPr>
              <w:t>for disposal to a collection program or to a person authorized by a collection program to transport, store</w:t>
            </w:r>
            <w:r w:rsidR="00387CFF">
              <w:rPr>
                <w:b w:val="0"/>
              </w:rPr>
              <w:t>,</w:t>
            </w:r>
            <w:r>
              <w:rPr>
                <w:b w:val="0"/>
              </w:rPr>
              <w:t xml:space="preserve"> or dispose of it.</w:t>
            </w:r>
          </w:p>
        </w:tc>
      </w:tr>
      <w:tr w:rsidR="006C4A9F">
        <w:tc>
          <w:tcPr>
            <w:tcW w:w="1195" w:type="dxa"/>
            <w:tcMar>
              <w:right w:w="43" w:type="dxa"/>
            </w:tcMar>
          </w:tcPr>
          <w:p w:rsidR="006C4A9F" w:rsidRDefault="006C4A9F" w:rsidP="00172A2B">
            <w:pPr>
              <w:pStyle w:val="Sectionnumber"/>
            </w:pPr>
          </w:p>
        </w:tc>
        <w:tc>
          <w:tcPr>
            <w:tcW w:w="9101" w:type="dxa"/>
          </w:tcPr>
          <w:p w:rsidR="006C4A9F" w:rsidRPr="006C4A9F" w:rsidRDefault="006C4A9F" w:rsidP="0022026D">
            <w:pPr>
              <w:pStyle w:val="Sectionnumber"/>
              <w:numPr>
                <w:ilvl w:val="0"/>
                <w:numId w:val="0"/>
              </w:numPr>
              <w:rPr>
                <w:b w:val="0"/>
              </w:rPr>
            </w:pPr>
            <w:r>
              <w:t>[151.44] Definitions.</w:t>
            </w:r>
            <w:r>
              <w:rPr>
                <w:b w:val="0"/>
              </w:rPr>
              <w:t xml:space="preserve">  Amends the </w:t>
            </w:r>
            <w:r w:rsidR="0068338F">
              <w:rPr>
                <w:b w:val="0"/>
              </w:rPr>
              <w:t>definition of “wholesale drug distribution” to include the distribution of nonprescription drugs and “reverse distribution,” the receipt of drugs for the purpose of returning them to their producers.</w:t>
            </w:r>
          </w:p>
        </w:tc>
      </w:tr>
    </w:tbl>
    <w:p w:rsidR="002B114A" w:rsidRDefault="002B114A">
      <w:pPr>
        <w:pStyle w:val="Sectionnumber"/>
        <w:sectPr w:rsidR="002B114A" w:rsidSect="00172A2B">
          <w:type w:val="continuous"/>
          <w:pgSz w:w="12240" w:h="15840" w:code="1"/>
          <w:pgMar w:top="720" w:right="1080" w:bottom="720" w:left="1080" w:header="720" w:footer="432" w:gutter="0"/>
          <w:cols w:space="720"/>
          <w:docGrid w:linePitch="326"/>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21D" w:rsidRDefault="00B7521D">
      <w:pPr>
        <w:spacing w:after="0"/>
      </w:pPr>
      <w:r>
        <w:separator/>
      </w:r>
    </w:p>
  </w:endnote>
  <w:endnote w:type="continuationSeparator" w:id="0">
    <w:p w:rsidR="00B7521D" w:rsidRDefault="00B7521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1D" w:rsidRDefault="000E2305">
    <w:pPr>
      <w:pStyle w:val="Header"/>
      <w:spacing w:line="240" w:lineRule="exact"/>
      <w:rPr>
        <w:noProof/>
      </w:rPr>
    </w:pPr>
    <w:r>
      <w:rPr>
        <w:noProof/>
      </w:rPr>
      <w:pict>
        <v:line id="_x0000_s2051" style="position:absolute;z-index:251657216" from="-22.95pt,14.75pt" to="517.05pt,14.75pt" strokeweight="1.5pt"/>
      </w:pict>
    </w:r>
  </w:p>
  <w:p w:rsidR="00B7521D" w:rsidRDefault="000E2305">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B7521D">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B7521D">
          <w:rPr>
            <w:rFonts w:ascii="Arial" w:hAnsi="Arial"/>
          </w:rPr>
          <w:t>Research Department</w:t>
        </w:r>
      </w:smartTag>
      <w:r w:rsidR="00B7521D">
        <w:rPr>
          <w:rFonts w:ascii="Arial" w:hAnsi="Arial"/>
        </w:rPr>
        <w:tab/>
      </w:r>
      <w:smartTag w:uri="urn:schemas-microsoft-com:office:smarttags" w:element="State">
        <w:r w:rsidR="00B7521D">
          <w:rPr>
            <w:rFonts w:ascii="Arial" w:hAnsi="Arial"/>
          </w:rPr>
          <w:t>Minnesota</w:t>
        </w:r>
      </w:smartTag>
    </w:smartTag>
    <w:r w:rsidR="00B7521D">
      <w:rPr>
        <w:rFonts w:ascii="Arial" w:hAnsi="Arial"/>
      </w:rPr>
      <w:t xml:space="preserve"> House of Representatives</w:t>
    </w:r>
    <w:r w:rsidR="00B7521D">
      <w:rPr>
        <w:rFonts w:ascii="Arial" w:hAnsi="Arial"/>
      </w:rPr>
      <w:tab/>
      <w:t>600 State Office Building</w:t>
    </w:r>
  </w:p>
  <w:p w:rsidR="00B7521D" w:rsidRDefault="00B7521D">
    <w:pPr>
      <w:pStyle w:val="Footer"/>
      <w:tabs>
        <w:tab w:val="clear" w:pos="4320"/>
        <w:tab w:val="clear" w:pos="8640"/>
        <w:tab w:val="right" w:pos="10350"/>
      </w:tabs>
      <w:rPr>
        <w:sz w:val="18"/>
      </w:rPr>
    </w:pPr>
    <w:r>
      <w:rPr>
        <w:rFonts w:ascii="Arial" w:hAnsi="Arial"/>
      </w:rPr>
      <w:tab/>
    </w:r>
    <w:r w:rsidR="000E2305">
      <w:rPr>
        <w:sz w:val="18"/>
      </w:rPr>
      <w:fldChar w:fldCharType="begin"/>
    </w:r>
    <w:r>
      <w:rPr>
        <w:sz w:val="18"/>
      </w:rPr>
      <w:instrText xml:space="preserve"> FILENAME \p </w:instrText>
    </w:r>
    <w:r w:rsidR="000E2305">
      <w:rPr>
        <w:sz w:val="18"/>
      </w:rPr>
      <w:fldChar w:fldCharType="separate"/>
    </w:r>
    <w:r w:rsidR="0080174C">
      <w:rPr>
        <w:noProof/>
        <w:sz w:val="18"/>
      </w:rPr>
      <w:t>G:\Summaries\2010\1217de6 Gardner.be.docx</w:t>
    </w:r>
    <w:r w:rsidR="000E2305">
      <w:rPr>
        <w:sz w:val="18"/>
      </w:rPr>
      <w:fldChar w:fldCharType="end"/>
    </w:r>
    <w:r>
      <w:rPr>
        <w:sz w:val="18"/>
      </w:rPr>
      <w:t xml:space="preserve">  Last printed </w:t>
    </w:r>
    <w:r w:rsidR="000E2305">
      <w:rPr>
        <w:sz w:val="18"/>
      </w:rPr>
      <w:fldChar w:fldCharType="begin"/>
    </w:r>
    <w:r>
      <w:rPr>
        <w:sz w:val="18"/>
      </w:rPr>
      <w:instrText xml:space="preserve"> PRINTDATE </w:instrText>
    </w:r>
    <w:r w:rsidR="000E2305">
      <w:rPr>
        <w:sz w:val="18"/>
      </w:rPr>
      <w:fldChar w:fldCharType="separate"/>
    </w:r>
    <w:r w:rsidR="0080174C">
      <w:rPr>
        <w:noProof/>
        <w:sz w:val="18"/>
      </w:rPr>
      <w:t>2/7/2010 1:43:00 PM</w:t>
    </w:r>
    <w:r w:rsidR="000E2305">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1D" w:rsidRDefault="000E2305">
    <w:pPr>
      <w:pStyle w:val="Header"/>
      <w:spacing w:line="240" w:lineRule="exact"/>
      <w:rPr>
        <w:noProof/>
      </w:rPr>
    </w:pPr>
    <w:r>
      <w:rPr>
        <w:noProof/>
      </w:rPr>
      <w:pict>
        <v:line id="_x0000_s2050" style="position:absolute;z-index:251656192" from="-22.95pt,14.75pt" to="517.05pt,14.75pt" strokeweight="1.5pt"/>
      </w:pict>
    </w:r>
  </w:p>
  <w:p w:rsidR="00B7521D" w:rsidRDefault="000E2305">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B7521D">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B7521D">
          <w:rPr>
            <w:rFonts w:ascii="Arial" w:hAnsi="Arial"/>
          </w:rPr>
          <w:t>Research Department</w:t>
        </w:r>
      </w:smartTag>
      <w:r w:rsidR="00B7521D">
        <w:rPr>
          <w:rFonts w:ascii="Arial" w:hAnsi="Arial"/>
        </w:rPr>
        <w:tab/>
      </w:r>
      <w:smartTag w:uri="urn:schemas-microsoft-com:office:smarttags" w:element="State">
        <w:r w:rsidR="00B7521D">
          <w:rPr>
            <w:rFonts w:ascii="Arial" w:hAnsi="Arial"/>
          </w:rPr>
          <w:t>Minnesota</w:t>
        </w:r>
      </w:smartTag>
    </w:smartTag>
    <w:r w:rsidR="00B7521D">
      <w:rPr>
        <w:rFonts w:ascii="Arial" w:hAnsi="Arial"/>
      </w:rPr>
      <w:t xml:space="preserve"> House of Representatives</w:t>
    </w:r>
    <w:r w:rsidR="00B7521D">
      <w:rPr>
        <w:rFonts w:ascii="Arial" w:hAnsi="Arial"/>
      </w:rPr>
      <w:tab/>
      <w:t>600 State Office Building</w:t>
    </w:r>
  </w:p>
  <w:p w:rsidR="00B7521D" w:rsidRDefault="00B7521D">
    <w:pPr>
      <w:pStyle w:val="Footer"/>
      <w:tabs>
        <w:tab w:val="clear" w:pos="4320"/>
        <w:tab w:val="clear" w:pos="8640"/>
        <w:tab w:val="right" w:pos="10350"/>
      </w:tabs>
      <w:spacing w:before="0"/>
      <w:rPr>
        <w:sz w:val="18"/>
      </w:rPr>
    </w:pPr>
    <w:r>
      <w:tab/>
    </w:r>
    <w:r w:rsidR="000E2305">
      <w:rPr>
        <w:snapToGrid w:val="0"/>
        <w:sz w:val="18"/>
      </w:rPr>
      <w:fldChar w:fldCharType="begin"/>
    </w:r>
    <w:r>
      <w:rPr>
        <w:snapToGrid w:val="0"/>
        <w:sz w:val="18"/>
      </w:rPr>
      <w:instrText xml:space="preserve"> FILENAME \p </w:instrText>
    </w:r>
    <w:r w:rsidR="000E2305">
      <w:rPr>
        <w:snapToGrid w:val="0"/>
        <w:sz w:val="18"/>
      </w:rPr>
      <w:fldChar w:fldCharType="separate"/>
    </w:r>
    <w:r w:rsidR="0080174C">
      <w:rPr>
        <w:noProof/>
        <w:snapToGrid w:val="0"/>
        <w:sz w:val="18"/>
      </w:rPr>
      <w:t>G:\Summaries\2010\1217de6 Gardner.be.docx</w:t>
    </w:r>
    <w:r w:rsidR="000E2305">
      <w:rPr>
        <w:snapToGrid w:val="0"/>
        <w:sz w:val="18"/>
      </w:rPr>
      <w:fldChar w:fldCharType="end"/>
    </w:r>
    <w:r>
      <w:rPr>
        <w:snapToGrid w:val="0"/>
        <w:sz w:val="18"/>
      </w:rPr>
      <w:t xml:space="preserve">  Last printed </w:t>
    </w:r>
    <w:r w:rsidR="000E2305">
      <w:rPr>
        <w:snapToGrid w:val="0"/>
        <w:sz w:val="18"/>
      </w:rPr>
      <w:fldChar w:fldCharType="begin"/>
    </w:r>
    <w:r>
      <w:rPr>
        <w:snapToGrid w:val="0"/>
        <w:sz w:val="18"/>
      </w:rPr>
      <w:instrText xml:space="preserve"> PRINTDATE </w:instrText>
    </w:r>
    <w:r w:rsidR="000E2305">
      <w:rPr>
        <w:snapToGrid w:val="0"/>
        <w:sz w:val="18"/>
      </w:rPr>
      <w:fldChar w:fldCharType="separate"/>
    </w:r>
    <w:r w:rsidR="0080174C">
      <w:rPr>
        <w:noProof/>
        <w:snapToGrid w:val="0"/>
        <w:sz w:val="18"/>
      </w:rPr>
      <w:t>2/7/2010 1:43:00 PM</w:t>
    </w:r>
    <w:r w:rsidR="000E2305">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21D" w:rsidRDefault="00B7521D">
      <w:pPr>
        <w:spacing w:after="0"/>
      </w:pPr>
      <w:r>
        <w:separator/>
      </w:r>
    </w:p>
  </w:footnote>
  <w:footnote w:type="continuationSeparator" w:id="0">
    <w:p w:rsidR="00B7521D" w:rsidRDefault="00B7521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9E" w:rsidRDefault="009D739E">
    <w:pPr>
      <w:pStyle w:val="Header"/>
    </w:pPr>
    <w:r w:rsidRPr="009D739E">
      <w:t>H.F. 1217</w:t>
    </w:r>
    <w:r w:rsidRPr="009D739E">
      <w:tab/>
    </w:r>
    <w:r>
      <w:tab/>
    </w:r>
    <w:r w:rsidRPr="009D739E">
      <w:t>February 8, 2010</w:t>
    </w:r>
  </w:p>
  <w:p w:rsidR="009D739E" w:rsidRDefault="009D739E">
    <w:pPr>
      <w:pStyle w:val="Header"/>
    </w:pPr>
    <w:r w:rsidRPr="009D739E">
      <w:t>Version:</w:t>
    </w:r>
    <w:r w:rsidRPr="009D739E">
      <w:tab/>
      <w:t>The Delete Everything Amendment (H1217DE6)</w:t>
    </w:r>
    <w:r>
      <w:tab/>
      <w:t xml:space="preserve">Page </w:t>
    </w:r>
    <w:fldSimple w:instr=" PAGE  \* MERGEFORMAT ">
      <w:r w:rsidR="0080174C">
        <w:rPr>
          <w:noProof/>
        </w:rPr>
        <w:t>2</w:t>
      </w:r>
    </w:fldSimple>
  </w:p>
  <w:p w:rsidR="009D739E" w:rsidRDefault="009D739E">
    <w:pPr>
      <w:pStyle w:val="Header"/>
    </w:pPr>
  </w:p>
  <w:p w:rsidR="009D739E" w:rsidRPr="009D739E" w:rsidRDefault="009D739E" w:rsidP="009D739E">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B9D4A8CA"/>
    <w:lvl w:ilvl="0" w:tplc="52E22E6C">
      <w:start w:val="1"/>
      <w:numFmt w:val="decimal"/>
      <w:lvlRestart w:val="0"/>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CF5790"/>
    <w:multiLevelType w:val="hybridMultilevel"/>
    <w:tmpl w:val="3C9C7A36"/>
    <w:lvl w:ilvl="0" w:tplc="AFB64EB8">
      <w:start w:val="1"/>
      <w:numFmt w:val="decimal"/>
      <w:lvlRestart w:val="0"/>
      <w:pStyle w:val="Sectionnumber"/>
      <w:lvlText w:val="%1"/>
      <w:lvlJc w:val="left"/>
      <w:pPr>
        <w:tabs>
          <w:tab w:val="num" w:pos="360"/>
        </w:tabs>
        <w:ind w:left="0" w:firstLine="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934C8"/>
    <w:multiLevelType w:val="singleLevel"/>
    <w:tmpl w:val="0BD8BFB8"/>
    <w:lvl w:ilvl="0">
      <w:start w:val="1"/>
      <w:numFmt w:val="decimal"/>
      <w:lvlText w:val="%1"/>
      <w:lvlJc w:val="left"/>
      <w:pPr>
        <w:tabs>
          <w:tab w:val="num" w:pos="360"/>
        </w:tabs>
        <w:ind w:left="360" w:hanging="360"/>
      </w:pPr>
    </w:lvl>
  </w:abstractNum>
  <w:abstractNum w:abstractNumId="3">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4">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26A0179"/>
    <w:multiLevelType w:val="singleLevel"/>
    <w:tmpl w:val="0BD8BFB8"/>
    <w:lvl w:ilvl="0">
      <w:start w:val="1"/>
      <w:numFmt w:val="decimal"/>
      <w:lvlText w:val="%1"/>
      <w:lvlJc w:val="left"/>
      <w:pPr>
        <w:tabs>
          <w:tab w:val="num" w:pos="360"/>
        </w:tabs>
        <w:ind w:left="360" w:hanging="360"/>
      </w:pPr>
    </w:lvl>
  </w:abstractNum>
  <w:abstractNum w:abstractNumId="7">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062B6F"/>
    <w:multiLevelType w:val="hybridMultilevel"/>
    <w:tmpl w:val="0516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B74449"/>
    <w:multiLevelType w:val="singleLevel"/>
    <w:tmpl w:val="EC02AB28"/>
    <w:lvl w:ilvl="0">
      <w:start w:val="1"/>
      <w:numFmt w:val="decimal"/>
      <w:lvlText w:val="%1"/>
      <w:lvlJc w:val="left"/>
      <w:pPr>
        <w:tabs>
          <w:tab w:val="num" w:pos="360"/>
        </w:tabs>
        <w:ind w:left="360" w:hanging="360"/>
      </w:pPr>
    </w:lvl>
  </w:abstractNum>
  <w:abstractNum w:abstractNumId="11">
    <w:nsid w:val="3FD4592B"/>
    <w:multiLevelType w:val="hybridMultilevel"/>
    <w:tmpl w:val="1BA8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3">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8">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10"/>
  </w:num>
  <w:num w:numId="4">
    <w:abstractNumId w:val="0"/>
  </w:num>
  <w:num w:numId="5">
    <w:abstractNumId w:val="4"/>
  </w:num>
  <w:num w:numId="6">
    <w:abstractNumId w:val="14"/>
  </w:num>
  <w:num w:numId="7">
    <w:abstractNumId w:val="18"/>
  </w:num>
  <w:num w:numId="8">
    <w:abstractNumId w:val="8"/>
  </w:num>
  <w:num w:numId="9">
    <w:abstractNumId w:val="12"/>
  </w:num>
  <w:num w:numId="10">
    <w:abstractNumId w:val="3"/>
  </w:num>
  <w:num w:numId="11">
    <w:abstractNumId w:val="17"/>
  </w:num>
  <w:num w:numId="12">
    <w:abstractNumId w:val="15"/>
  </w:num>
  <w:num w:numId="13">
    <w:abstractNumId w:val="13"/>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5"/>
  </w:num>
  <w:num w:numId="27">
    <w:abstractNumId w:val="7"/>
  </w:num>
  <w:num w:numId="28">
    <w:abstractNumId w:val="16"/>
  </w:num>
  <w:num w:numId="29">
    <w:abstractNumId w:val="9"/>
  </w:num>
  <w:num w:numId="30">
    <w:abstractNumId w:val="11"/>
  </w:num>
  <w:num w:numId="31">
    <w:abstractNumId w:val="1"/>
  </w:num>
  <w:num w:numId="3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22026D"/>
    <w:rsid w:val="000E2305"/>
    <w:rsid w:val="00172A2B"/>
    <w:rsid w:val="0022026D"/>
    <w:rsid w:val="00236092"/>
    <w:rsid w:val="00266735"/>
    <w:rsid w:val="002B114A"/>
    <w:rsid w:val="003323D7"/>
    <w:rsid w:val="00387CFF"/>
    <w:rsid w:val="00405797"/>
    <w:rsid w:val="00412F86"/>
    <w:rsid w:val="00513B44"/>
    <w:rsid w:val="005733A9"/>
    <w:rsid w:val="005E4BEA"/>
    <w:rsid w:val="0068338F"/>
    <w:rsid w:val="006C4A9F"/>
    <w:rsid w:val="006E0F9A"/>
    <w:rsid w:val="0080174C"/>
    <w:rsid w:val="008345F2"/>
    <w:rsid w:val="0085695D"/>
    <w:rsid w:val="009873E8"/>
    <w:rsid w:val="009D4386"/>
    <w:rsid w:val="009D739E"/>
    <w:rsid w:val="009F6950"/>
    <w:rsid w:val="00A8513B"/>
    <w:rsid w:val="00AB78BA"/>
    <w:rsid w:val="00B7521D"/>
    <w:rsid w:val="00D84A31"/>
    <w:rsid w:val="00F15312"/>
    <w:rsid w:val="00F43E68"/>
    <w:rsid w:val="00F94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31"/>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BalloonText">
    <w:name w:val="Balloon Text"/>
    <w:basedOn w:val="Normal"/>
    <w:link w:val="BalloonTextChar"/>
    <w:uiPriority w:val="99"/>
    <w:semiHidden/>
    <w:unhideWhenUsed/>
    <w:rsid w:val="00B752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2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16</TotalTime>
  <Pages>3</Pages>
  <Words>906</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6151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HOUSE RESEARCH </dc:title>
  <dc:subject/>
  <dc:creator>HRDUser</dc:creator>
  <cp:keywords/>
  <dc:description/>
  <cp:lastModifiedBy>J Vogt</cp:lastModifiedBy>
  <cp:revision>7</cp:revision>
  <cp:lastPrinted>2010-02-07T19:43:00Z</cp:lastPrinted>
  <dcterms:created xsi:type="dcterms:W3CDTF">2010-02-07T19:31:00Z</dcterms:created>
  <dcterms:modified xsi:type="dcterms:W3CDTF">2010-02-07T19:45:00Z</dcterms:modified>
</cp:coreProperties>
</file>