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52E3F" w:rsidRDefault="00A4762E">
      <w:pPr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2C3F3" wp14:editId="48041E90">
                <wp:simplePos x="0" y="0"/>
                <wp:positionH relativeFrom="column">
                  <wp:posOffset>8399780</wp:posOffset>
                </wp:positionH>
                <wp:positionV relativeFrom="paragraph">
                  <wp:posOffset>2782582</wp:posOffset>
                </wp:positionV>
                <wp:extent cx="97478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62E" w:rsidRDefault="00A4762E" w:rsidP="00A4762E">
                            <w:pPr>
                              <w:spacing w:after="0"/>
                            </w:pPr>
                            <w:r>
                              <w:t>Average Severity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62C3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1.4pt;margin-top:219.1pt;width:7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" filled="f" stroked="f">
                <v:textbox style="mso-fit-shape-to-text:t">
                  <w:txbxContent>
                    <w:p w:rsidR="00A4762E" w:rsidRDefault="00A4762E" w:rsidP="00A4762E">
                      <w:pPr>
                        <w:spacing w:after="0"/>
                      </w:pPr>
                      <w:r>
                        <w:t>Average Severity Rate</w:t>
                      </w:r>
                    </w:p>
                  </w:txbxContent>
                </v:textbox>
              </v:shape>
            </w:pict>
          </mc:Fallback>
        </mc:AlternateContent>
      </w:r>
      <w:r w:rsidR="006D5114">
        <w:rPr>
          <w:noProof/>
        </w:rPr>
        <w:drawing>
          <wp:inline distT="0" distB="0" distL="0" distR="0" wp14:anchorId="3389A22E" wp14:editId="421F8B10">
            <wp:extent cx="9652958" cy="4917056"/>
            <wp:effectExtent l="0" t="0" r="5715" b="171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4596B" w:rsidRPr="004D45CE" w:rsidRDefault="00B4596B" w:rsidP="00B4596B">
      <w:pPr>
        <w:contextualSpacing/>
        <w:rPr>
          <w:i/>
        </w:rPr>
      </w:pPr>
      <w:r w:rsidRPr="004D45CE">
        <w:rPr>
          <w:i/>
        </w:rPr>
        <w:t>*Average crash rates taken from 2008-2012 Intersection Green Sheets</w:t>
      </w:r>
    </w:p>
    <w:p w:rsidR="001E7462" w:rsidRPr="004D45CE" w:rsidRDefault="00B4596B">
      <w:pPr>
        <w:contextualSpacing/>
        <w:rPr>
          <w:i/>
        </w:rPr>
      </w:pPr>
      <w:r w:rsidRPr="004D45CE">
        <w:rPr>
          <w:i/>
        </w:rPr>
        <w:t>- Crash data from January 1st, 2009 to December 31st, 2013 records in Minnesota Crash Mapping Analysis Tool (MnCMAT)</w:t>
      </w:r>
    </w:p>
    <w:p w:rsidR="001E7462" w:rsidRPr="00F52E3F" w:rsidRDefault="007D68F3" w:rsidP="00746565">
      <w:pPr>
        <w:rPr>
          <w:lang w:eastAsia="ko-KR"/>
        </w:rPr>
      </w:pPr>
      <w:r>
        <w:t xml:space="preserve"> </w:t>
      </w:r>
    </w:p>
    <w:sectPr w:rsidR="001E7462" w:rsidRPr="00F52E3F" w:rsidSect="00F52E3F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6986"/>
    <w:multiLevelType w:val="multilevel"/>
    <w:tmpl w:val="1C08B43E"/>
    <w:styleLink w:val="Headings"/>
    <w:lvl w:ilvl="0">
      <w:start w:val="1"/>
      <w:numFmt w:val="none"/>
      <w:pStyle w:val="Heading1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Heading2"/>
      <w:lvlText w:val=""/>
      <w:lvlJc w:val="left"/>
      <w:pPr>
        <w:ind w:left="720" w:hanging="720"/>
      </w:pPr>
      <w:rPr>
        <w:rFonts w:hint="default"/>
      </w:rPr>
    </w:lvl>
    <w:lvl w:ilvl="2">
      <w:start w:val="1"/>
      <w:numFmt w:val="none"/>
      <w:pStyle w:val="Heading3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73875F07"/>
    <w:multiLevelType w:val="hybridMultilevel"/>
    <w:tmpl w:val="9376A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3F"/>
    <w:rsid w:val="00041D85"/>
    <w:rsid w:val="000754D5"/>
    <w:rsid w:val="000E6FAD"/>
    <w:rsid w:val="00175929"/>
    <w:rsid w:val="001834E6"/>
    <w:rsid w:val="001E7462"/>
    <w:rsid w:val="00236191"/>
    <w:rsid w:val="0024190D"/>
    <w:rsid w:val="00326F2C"/>
    <w:rsid w:val="003735D8"/>
    <w:rsid w:val="00427E03"/>
    <w:rsid w:val="00471168"/>
    <w:rsid w:val="004976ED"/>
    <w:rsid w:val="004C23C6"/>
    <w:rsid w:val="004D45CE"/>
    <w:rsid w:val="0060446B"/>
    <w:rsid w:val="00677E31"/>
    <w:rsid w:val="006D5114"/>
    <w:rsid w:val="00746565"/>
    <w:rsid w:val="00785896"/>
    <w:rsid w:val="007B76AC"/>
    <w:rsid w:val="007D68F3"/>
    <w:rsid w:val="00825410"/>
    <w:rsid w:val="00883DBA"/>
    <w:rsid w:val="00915BFF"/>
    <w:rsid w:val="00933E36"/>
    <w:rsid w:val="00945C53"/>
    <w:rsid w:val="00A4762E"/>
    <w:rsid w:val="00B4596B"/>
    <w:rsid w:val="00D944EA"/>
    <w:rsid w:val="00DC7B9C"/>
    <w:rsid w:val="00E2480E"/>
    <w:rsid w:val="00E639C3"/>
    <w:rsid w:val="00EF111E"/>
    <w:rsid w:val="00F0553F"/>
    <w:rsid w:val="00F52E3F"/>
    <w:rsid w:val="00F8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5D2AA9-FCF4-462B-B2A7-35A5EB9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68F3"/>
    <w:pPr>
      <w:keepNext/>
      <w:numPr>
        <w:numId w:val="1"/>
      </w:numPr>
      <w:spacing w:before="480" w:after="120" w:line="320" w:lineRule="atLeast"/>
      <w:outlineLvl w:val="0"/>
    </w:pPr>
    <w:rPr>
      <w:rFonts w:ascii="Franklin Gothic Demi" w:eastAsia="Times New Roman" w:hAnsi="Franklin Gothic Demi" w:cs="Times New Roman"/>
      <w:color w:val="0080C3"/>
      <w:sz w:val="28"/>
      <w:szCs w:val="26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8F3"/>
    <w:pPr>
      <w:keepNext/>
      <w:keepLines/>
      <w:numPr>
        <w:ilvl w:val="1"/>
        <w:numId w:val="1"/>
      </w:numPr>
      <w:spacing w:before="360" w:after="120" w:line="320" w:lineRule="atLeast"/>
      <w:outlineLvl w:val="1"/>
    </w:pPr>
    <w:rPr>
      <w:rFonts w:ascii="Franklin Gothic Demi Cond" w:eastAsiaTheme="majorEastAsia" w:hAnsi="Franklin Gothic Demi Cond" w:cstheme="majorBidi"/>
      <w:bCs/>
      <w:color w:val="626366"/>
      <w:sz w:val="24"/>
      <w:szCs w:val="24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8F3"/>
    <w:pPr>
      <w:keepNext/>
      <w:keepLines/>
      <w:numPr>
        <w:ilvl w:val="2"/>
        <w:numId w:val="1"/>
      </w:numPr>
      <w:spacing w:before="360" w:after="120" w:line="300" w:lineRule="atLeast"/>
      <w:outlineLvl w:val="2"/>
    </w:pPr>
    <w:rPr>
      <w:rFonts w:ascii="Franklin Gothic Demi" w:eastAsiaTheme="majorEastAsia" w:hAnsi="Franklin Gothic Demi" w:cstheme="majorBidi"/>
      <w:bCs/>
      <w:color w:val="0080C3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D68F3"/>
    <w:rPr>
      <w:rFonts w:ascii="Franklin Gothic Demi" w:eastAsia="Times New Roman" w:hAnsi="Franklin Gothic Demi" w:cs="Times New Roman"/>
      <w:color w:val="0080C3"/>
      <w:sz w:val="28"/>
      <w:szCs w:val="26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7D68F3"/>
    <w:rPr>
      <w:rFonts w:ascii="Franklin Gothic Demi Cond" w:eastAsiaTheme="majorEastAsia" w:hAnsi="Franklin Gothic Demi Cond" w:cstheme="majorBidi"/>
      <w:bCs/>
      <w:color w:val="626366"/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7D68F3"/>
    <w:rPr>
      <w:rFonts w:ascii="Franklin Gothic Demi" w:eastAsiaTheme="majorEastAsia" w:hAnsi="Franklin Gothic Demi" w:cstheme="majorBidi"/>
      <w:bCs/>
      <w:color w:val="0080C3"/>
      <w:szCs w:val="20"/>
      <w:lang w:eastAsia="ko-KR"/>
    </w:rPr>
  </w:style>
  <w:style w:type="numbering" w:customStyle="1" w:styleId="Headings">
    <w:name w:val="Headings"/>
    <w:uiPriority w:val="99"/>
    <w:rsid w:val="007D68F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45C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44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vs-mpls1\ProjData\Projects\4899%20-%20DO%20NOT%20ARCHIVE\Safety\TH%2052%20Updated%20Crash%20Analysis%20-%2020150116\Intersection_Green_Sheet_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674964276084732E-2"/>
          <c:y val="9.3362826113166944E-2"/>
          <c:w val="0.82215636191249875"/>
          <c:h val="0.790119547777375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Charts!$C$28</c:f>
              <c:strCache>
                <c:ptCount val="1"/>
                <c:pt idx="0">
                  <c:v>Crash Rate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7.06713780918727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0274389902295457E-7"/>
                  <c:y val="4.0549651826572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799516495366132E-3"/>
                  <c:y val="4.4758353969004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810395925345568E-7"/>
                  <c:y val="3.297997644287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-4.6795252897943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(Charts!$B$29,Charts!$B$32:$B$33)</c:f>
              <c:strCache>
                <c:ptCount val="3"/>
                <c:pt idx="0">
                  <c:v>Statewide TH Rural Thru-Stop Intersection Average*</c:v>
                </c:pt>
                <c:pt idx="1">
                  <c:v>TH 52 and CSAH 42
SB Ramps</c:v>
                </c:pt>
                <c:pt idx="2">
                  <c:v>TH 52 and CSAH 42
NB Ramps</c:v>
                </c:pt>
              </c:strCache>
            </c:strRef>
          </c:cat>
          <c:val>
            <c:numRef>
              <c:f>(Charts!$C$29,Charts!$C$32:$C$33)</c:f>
              <c:numCache>
                <c:formatCode>0.00</c:formatCode>
                <c:ptCount val="3"/>
                <c:pt idx="0">
                  <c:v>0.25927596538925407</c:v>
                </c:pt>
                <c:pt idx="1">
                  <c:v>0.39633988047181884</c:v>
                </c:pt>
                <c:pt idx="2">
                  <c:v>0.55491236168178804</c:v>
                </c:pt>
              </c:numCache>
            </c:numRef>
          </c:val>
        </c:ser>
        <c:ser>
          <c:idx val="1"/>
          <c:order val="1"/>
          <c:tx>
            <c:strRef>
              <c:f>Charts!$D$28</c:f>
              <c:strCache>
                <c:ptCount val="1"/>
                <c:pt idx="0">
                  <c:v>Severity Rate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7.06713780918727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0274389911864228E-7"/>
                  <c:y val="1.023950566569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4.71142520612485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4.71142520612485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(Charts!$B$29,Charts!$B$32:$B$33)</c:f>
              <c:strCache>
                <c:ptCount val="3"/>
                <c:pt idx="0">
                  <c:v>Statewide TH Rural Thru-Stop Intersection Average*</c:v>
                </c:pt>
                <c:pt idx="1">
                  <c:v>TH 52 and CSAH 42
SB Ramps</c:v>
                </c:pt>
                <c:pt idx="2">
                  <c:v>TH 52 and CSAH 42
NB Ramps</c:v>
                </c:pt>
              </c:strCache>
            </c:strRef>
          </c:cat>
          <c:val>
            <c:numRef>
              <c:f>(Charts!$D$29,Charts!$D$32:$D$33)</c:f>
              <c:numCache>
                <c:formatCode>0.00</c:formatCode>
                <c:ptCount val="3"/>
                <c:pt idx="0">
                  <c:v>0.42390132608061065</c:v>
                </c:pt>
                <c:pt idx="1">
                  <c:v>0.67377779680209204</c:v>
                </c:pt>
                <c:pt idx="2">
                  <c:v>0.95848498835945206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0174208"/>
        <c:axId val="300176560"/>
      </c:barChart>
      <c:catAx>
        <c:axId val="300174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0176560"/>
        <c:crosses val="autoZero"/>
        <c:auto val="1"/>
        <c:lblAlgn val="ctr"/>
        <c:lblOffset val="100"/>
        <c:noMultiLvlLbl val="0"/>
      </c:catAx>
      <c:valAx>
        <c:axId val="3001765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Crashes</a:t>
                </a:r>
                <a:r>
                  <a:rPr lang="en-US" baseline="0"/>
                  <a:t> per million entering vehicles</a:t>
                </a:r>
                <a:endParaRPr lang="en-US"/>
              </a:p>
            </c:rich>
          </c:tx>
          <c:layout/>
          <c:overlay val="0"/>
        </c:title>
        <c:numFmt formatCode="0.00" sourceLinked="1"/>
        <c:majorTickMark val="out"/>
        <c:minorTickMark val="none"/>
        <c:tickLblPos val="nextTo"/>
        <c:crossAx val="300174208"/>
        <c:crosses val="autoZero"/>
        <c:crossBetween val="between"/>
        <c:majorUnit val="0.25"/>
      </c:valAx>
    </c:plotArea>
    <c:legend>
      <c:legendPos val="r"/>
      <c:layout>
        <c:manualLayout>
          <c:xMode val="edge"/>
          <c:yMode val="edge"/>
          <c:x val="0.89671100171093177"/>
          <c:y val="0.27248365554460668"/>
          <c:w val="9.2763374974812574E-2"/>
          <c:h val="9.3415541189858051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0.05489</cdr:x>
      <cdr:y>0.72176</cdr:y>
    </cdr:from>
    <cdr:to>
      <cdr:x>0.88018</cdr:x>
      <cdr:y>0.72212</cdr:y>
    </cdr:to>
    <cdr:cxnSp macro="">
      <cdr:nvCxnSpPr>
        <cdr:cNvPr id="38" name="Straight Connector 37"/>
        <cdr:cNvCxnSpPr/>
      </cdr:nvCxnSpPr>
      <cdr:spPr>
        <a:xfrm xmlns:a="http://schemas.openxmlformats.org/drawingml/2006/main" flipV="1">
          <a:off x="530122" y="3580795"/>
          <a:ext cx="7970763" cy="1786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accent6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0.20935</cdr:x>
      <cdr:y>0.94683</cdr:y>
    </cdr:from>
    <cdr:to>
      <cdr:x>0.24158</cdr:x>
      <cdr:y>0.97973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2103341" y="5427903"/>
          <a:ext cx="323850" cy="1885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0.87045</cdr:x>
      <cdr:y>0.677</cdr:y>
    </cdr:from>
    <cdr:to>
      <cdr:x>0.96661</cdr:x>
      <cdr:y>0.80555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8402128" y="3328658"/>
          <a:ext cx="928198" cy="6320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aseline="0"/>
            <a:t>Average Crash Rate</a:t>
          </a:r>
          <a:endParaRPr lang="en-US" sz="1100"/>
        </a:p>
      </cdr:txBody>
    </cdr:sp>
  </cdr:relSizeAnchor>
  <cdr:relSizeAnchor xmlns:cdr="http://schemas.openxmlformats.org/drawingml/2006/chartDrawing">
    <cdr:from>
      <cdr:x>0.05568</cdr:x>
      <cdr:y>0.61805</cdr:y>
    </cdr:from>
    <cdr:to>
      <cdr:x>0.88097</cdr:x>
      <cdr:y>0.61841</cdr:y>
    </cdr:to>
    <cdr:cxnSp macro="">
      <cdr:nvCxnSpPr>
        <cdr:cNvPr id="5" name="Straight Connector 4"/>
        <cdr:cNvCxnSpPr/>
      </cdr:nvCxnSpPr>
      <cdr:spPr>
        <a:xfrm xmlns:a="http://schemas.openxmlformats.org/drawingml/2006/main" flipV="1">
          <a:off x="537501" y="3038836"/>
          <a:ext cx="7966223" cy="177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accent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SRF Consulting Group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Semeja</dc:creator>
  <cp:lastModifiedBy>GOPGuest</cp:lastModifiedBy>
  <cp:revision>2</cp:revision>
  <dcterms:created xsi:type="dcterms:W3CDTF">2017-03-29T01:48:00Z</dcterms:created>
  <dcterms:modified xsi:type="dcterms:W3CDTF">2017-03-29T01:48:00Z</dcterms:modified>
</cp:coreProperties>
</file>