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108"/>
        <w:gridCol w:w="2109"/>
        <w:gridCol w:w="963"/>
        <w:gridCol w:w="2052"/>
        <w:gridCol w:w="2148"/>
        <w:gridCol w:w="980"/>
      </w:tblGrid>
      <w:tr w:rsidR="006C17F8" w:rsidTr="00846A78">
        <w:trPr>
          <w:tblHeader/>
        </w:trPr>
        <w:tc>
          <w:tcPr>
            <w:tcW w:w="12950" w:type="dxa"/>
            <w:gridSpan w:val="7"/>
            <w:tcBorders>
              <w:top w:val="nil"/>
              <w:left w:val="nil"/>
              <w:right w:val="nil"/>
            </w:tcBorders>
          </w:tcPr>
          <w:p w:rsidR="006C17F8" w:rsidRPr="006C17F8" w:rsidRDefault="006C17F8" w:rsidP="004B1FE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C17F8">
              <w:rPr>
                <w:b/>
                <w:sz w:val="28"/>
                <w:szCs w:val="28"/>
              </w:rPr>
              <w:t>Comparison of the Features of New Market Credit Bills</w:t>
            </w:r>
          </w:p>
          <w:p w:rsidR="006C17F8" w:rsidRPr="004B1FE7" w:rsidRDefault="006C17F8" w:rsidP="004B1FE7">
            <w:pPr>
              <w:jc w:val="center"/>
              <w:rPr>
                <w:b/>
              </w:rPr>
            </w:pPr>
            <w:r>
              <w:rPr>
                <w:b/>
              </w:rPr>
              <w:t>H.F. No. 438 and H.F. No. 688</w:t>
            </w:r>
          </w:p>
        </w:tc>
      </w:tr>
      <w:tr w:rsidR="004B1FE7" w:rsidTr="00846A78">
        <w:trPr>
          <w:tblHeader/>
        </w:trPr>
        <w:tc>
          <w:tcPr>
            <w:tcW w:w="2590" w:type="dxa"/>
          </w:tcPr>
          <w:p w:rsidR="004B1FE7" w:rsidRPr="004B1FE7" w:rsidRDefault="004B1FE7" w:rsidP="004B1FE7">
            <w:pPr>
              <w:jc w:val="center"/>
              <w:rPr>
                <w:b/>
              </w:rPr>
            </w:pPr>
            <w:r w:rsidRPr="004B1FE7">
              <w:rPr>
                <w:b/>
              </w:rPr>
              <w:t>Feature</w:t>
            </w:r>
          </w:p>
        </w:tc>
        <w:tc>
          <w:tcPr>
            <w:tcW w:w="5180" w:type="dxa"/>
            <w:gridSpan w:val="3"/>
          </w:tcPr>
          <w:p w:rsidR="004B1FE7" w:rsidRPr="004B1FE7" w:rsidRDefault="004B1FE7" w:rsidP="004B1FE7">
            <w:pPr>
              <w:jc w:val="center"/>
              <w:rPr>
                <w:b/>
              </w:rPr>
            </w:pPr>
            <w:r w:rsidRPr="004B1FE7">
              <w:rPr>
                <w:b/>
              </w:rPr>
              <w:t>H.F. 438</w:t>
            </w:r>
          </w:p>
        </w:tc>
        <w:tc>
          <w:tcPr>
            <w:tcW w:w="5180" w:type="dxa"/>
            <w:gridSpan w:val="3"/>
          </w:tcPr>
          <w:p w:rsidR="004B1FE7" w:rsidRPr="004B1FE7" w:rsidRDefault="004B1FE7" w:rsidP="004B1FE7">
            <w:pPr>
              <w:jc w:val="center"/>
              <w:rPr>
                <w:b/>
              </w:rPr>
            </w:pPr>
            <w:r w:rsidRPr="004B1FE7">
              <w:rPr>
                <w:b/>
              </w:rPr>
              <w:t>H.F. 688</w:t>
            </w:r>
          </w:p>
        </w:tc>
      </w:tr>
      <w:tr w:rsidR="004B1FE7" w:rsidTr="002B32C2">
        <w:trPr>
          <w:tblHeader/>
        </w:trPr>
        <w:tc>
          <w:tcPr>
            <w:tcW w:w="2590" w:type="dxa"/>
          </w:tcPr>
          <w:p w:rsidR="004B1FE7" w:rsidRDefault="004B1FE7" w:rsidP="00EF43DC"/>
        </w:tc>
        <w:tc>
          <w:tcPr>
            <w:tcW w:w="4217" w:type="dxa"/>
            <w:gridSpan w:val="2"/>
          </w:tcPr>
          <w:p w:rsidR="004B1FE7" w:rsidRPr="004B1FE7" w:rsidRDefault="004B1FE7" w:rsidP="004B1FE7">
            <w:pPr>
              <w:jc w:val="center"/>
              <w:rPr>
                <w:b/>
              </w:rPr>
            </w:pPr>
            <w:r w:rsidRPr="004B1FE7">
              <w:rPr>
                <w:b/>
              </w:rPr>
              <w:t>Description</w:t>
            </w:r>
          </w:p>
        </w:tc>
        <w:tc>
          <w:tcPr>
            <w:tcW w:w="963" w:type="dxa"/>
          </w:tcPr>
          <w:p w:rsidR="004B1FE7" w:rsidRPr="004B1FE7" w:rsidRDefault="002D3562" w:rsidP="004B1FE7">
            <w:pPr>
              <w:jc w:val="center"/>
              <w:rPr>
                <w:b/>
              </w:rPr>
            </w:pPr>
            <w:r>
              <w:rPr>
                <w:b/>
              </w:rPr>
              <w:t>Bill §</w:t>
            </w:r>
          </w:p>
        </w:tc>
        <w:tc>
          <w:tcPr>
            <w:tcW w:w="4200" w:type="dxa"/>
            <w:gridSpan w:val="2"/>
          </w:tcPr>
          <w:p w:rsidR="004B1FE7" w:rsidRPr="004B1FE7" w:rsidRDefault="004B1FE7" w:rsidP="004B1FE7">
            <w:pPr>
              <w:jc w:val="center"/>
              <w:rPr>
                <w:b/>
              </w:rPr>
            </w:pPr>
            <w:r w:rsidRPr="004B1FE7">
              <w:rPr>
                <w:b/>
              </w:rPr>
              <w:t>Description</w:t>
            </w:r>
          </w:p>
        </w:tc>
        <w:tc>
          <w:tcPr>
            <w:tcW w:w="980" w:type="dxa"/>
          </w:tcPr>
          <w:p w:rsidR="004B1FE7" w:rsidRPr="004B1FE7" w:rsidRDefault="002D3562" w:rsidP="004B1FE7">
            <w:pPr>
              <w:jc w:val="center"/>
              <w:rPr>
                <w:b/>
              </w:rPr>
            </w:pPr>
            <w:r>
              <w:rPr>
                <w:b/>
              </w:rPr>
              <w:t>Bill §</w:t>
            </w:r>
          </w:p>
        </w:tc>
      </w:tr>
      <w:tr w:rsidR="004B1FE7" w:rsidTr="002B32C2">
        <w:tc>
          <w:tcPr>
            <w:tcW w:w="2590" w:type="dxa"/>
          </w:tcPr>
          <w:p w:rsidR="004B1FE7" w:rsidRPr="00846A78" w:rsidRDefault="004B1FE7" w:rsidP="00EF43DC">
            <w:pPr>
              <w:rPr>
                <w:b/>
              </w:rPr>
            </w:pPr>
            <w:r w:rsidRPr="00846A78">
              <w:rPr>
                <w:b/>
              </w:rPr>
              <w:t>Tax credit</w:t>
            </w:r>
            <w:r w:rsidR="00846A78" w:rsidRPr="00846A78">
              <w:rPr>
                <w:b/>
              </w:rPr>
              <w:t xml:space="preserve"> parameters</w:t>
            </w:r>
          </w:p>
        </w:tc>
        <w:tc>
          <w:tcPr>
            <w:tcW w:w="4217" w:type="dxa"/>
            <w:gridSpan w:val="2"/>
          </w:tcPr>
          <w:p w:rsidR="004B1FE7" w:rsidRDefault="004B1FE7" w:rsidP="00EF43DC"/>
        </w:tc>
        <w:tc>
          <w:tcPr>
            <w:tcW w:w="963" w:type="dxa"/>
          </w:tcPr>
          <w:p w:rsidR="004B1FE7" w:rsidRDefault="004B1FE7" w:rsidP="00EF43DC"/>
        </w:tc>
        <w:tc>
          <w:tcPr>
            <w:tcW w:w="4200" w:type="dxa"/>
            <w:gridSpan w:val="2"/>
          </w:tcPr>
          <w:p w:rsidR="004B1FE7" w:rsidRDefault="004B1FE7" w:rsidP="00EF43DC"/>
        </w:tc>
        <w:tc>
          <w:tcPr>
            <w:tcW w:w="980" w:type="dxa"/>
            <w:vAlign w:val="center"/>
          </w:tcPr>
          <w:p w:rsidR="004B1FE7" w:rsidRDefault="004B1FE7" w:rsidP="002D3562">
            <w:pPr>
              <w:jc w:val="center"/>
            </w:pPr>
          </w:p>
        </w:tc>
      </w:tr>
      <w:tr w:rsidR="004B1FE7" w:rsidTr="002B32C2">
        <w:tc>
          <w:tcPr>
            <w:tcW w:w="2590" w:type="dxa"/>
            <w:vAlign w:val="center"/>
          </w:tcPr>
          <w:p w:rsidR="004B1FE7" w:rsidRDefault="004B1FE7" w:rsidP="002D3562">
            <w:r>
              <w:t>Taxes allowed against</w:t>
            </w:r>
          </w:p>
        </w:tc>
        <w:tc>
          <w:tcPr>
            <w:tcW w:w="4217" w:type="dxa"/>
            <w:gridSpan w:val="2"/>
            <w:vAlign w:val="center"/>
          </w:tcPr>
          <w:p w:rsidR="004B1FE7" w:rsidRDefault="004B1FE7" w:rsidP="002D3562">
            <w:r>
              <w:t>Insurance premiums tax</w:t>
            </w:r>
          </w:p>
        </w:tc>
        <w:tc>
          <w:tcPr>
            <w:tcW w:w="963" w:type="dxa"/>
            <w:vAlign w:val="center"/>
          </w:tcPr>
          <w:p w:rsidR="004B1FE7" w:rsidRDefault="004B1FE7" w:rsidP="002D3562">
            <w:pPr>
              <w:jc w:val="center"/>
            </w:pPr>
            <w:r>
              <w:t>3</w:t>
            </w:r>
          </w:p>
        </w:tc>
        <w:tc>
          <w:tcPr>
            <w:tcW w:w="4200" w:type="dxa"/>
            <w:gridSpan w:val="2"/>
          </w:tcPr>
          <w:p w:rsidR="004B1FE7" w:rsidRDefault="004B1FE7" w:rsidP="00EF43DC">
            <w:r>
              <w:t>Insurance premiums</w:t>
            </w:r>
            <w:r w:rsidR="006C17F8">
              <w:t xml:space="preserve"> tax</w:t>
            </w:r>
          </w:p>
          <w:p w:rsidR="004B1FE7" w:rsidRDefault="004B1FE7" w:rsidP="00EF43DC">
            <w:r>
              <w:t>Corporate franchise</w:t>
            </w:r>
            <w:r w:rsidR="006C17F8">
              <w:t xml:space="preserve"> tax</w:t>
            </w:r>
          </w:p>
          <w:p w:rsidR="004B1FE7" w:rsidRDefault="004B1FE7" w:rsidP="00EF43DC">
            <w:r>
              <w:t>Individual income</w:t>
            </w:r>
            <w:r w:rsidR="006C17F8">
              <w:t xml:space="preserve"> tax</w:t>
            </w:r>
          </w:p>
        </w:tc>
        <w:tc>
          <w:tcPr>
            <w:tcW w:w="980" w:type="dxa"/>
            <w:vAlign w:val="center"/>
          </w:tcPr>
          <w:p w:rsidR="004B1FE7" w:rsidRDefault="004B1FE7" w:rsidP="002D3562">
            <w:pPr>
              <w:jc w:val="center"/>
            </w:pPr>
            <w:r>
              <w:t>3</w:t>
            </w:r>
          </w:p>
          <w:p w:rsidR="004B1FE7" w:rsidRDefault="004B1FE7" w:rsidP="002D3562">
            <w:pPr>
              <w:jc w:val="center"/>
            </w:pPr>
            <w:r>
              <w:t>2</w:t>
            </w:r>
          </w:p>
          <w:p w:rsidR="004B1FE7" w:rsidRDefault="004B1FE7" w:rsidP="002D3562">
            <w:pPr>
              <w:jc w:val="center"/>
            </w:pPr>
            <w:r>
              <w:t>2</w:t>
            </w:r>
          </w:p>
        </w:tc>
      </w:tr>
      <w:tr w:rsidR="006C17F8" w:rsidTr="002B32C2">
        <w:trPr>
          <w:trHeight w:val="638"/>
        </w:trPr>
        <w:tc>
          <w:tcPr>
            <w:tcW w:w="2590" w:type="dxa"/>
            <w:vMerge w:val="restart"/>
            <w:vAlign w:val="center"/>
          </w:tcPr>
          <w:p w:rsidR="006C17F8" w:rsidRDefault="006C17F8" w:rsidP="002D3562">
            <w:r>
              <w:t>Credit rate</w:t>
            </w:r>
          </w:p>
        </w:tc>
        <w:tc>
          <w:tcPr>
            <w:tcW w:w="2108" w:type="dxa"/>
            <w:vAlign w:val="center"/>
          </w:tcPr>
          <w:p w:rsidR="006C17F8" w:rsidRDefault="006C17F8" w:rsidP="002D3562">
            <w:pPr>
              <w:jc w:val="center"/>
            </w:pPr>
            <w:r>
              <w:t>Year after investment</w:t>
            </w:r>
          </w:p>
        </w:tc>
        <w:tc>
          <w:tcPr>
            <w:tcW w:w="2109" w:type="dxa"/>
            <w:vAlign w:val="center"/>
          </w:tcPr>
          <w:p w:rsidR="006C17F8" w:rsidRDefault="006C17F8" w:rsidP="002D3562">
            <w:pPr>
              <w:jc w:val="center"/>
            </w:pPr>
            <w:r>
              <w:t>Percent</w:t>
            </w:r>
          </w:p>
        </w:tc>
        <w:tc>
          <w:tcPr>
            <w:tcW w:w="963" w:type="dxa"/>
            <w:vMerge w:val="restart"/>
            <w:vAlign w:val="center"/>
          </w:tcPr>
          <w:p w:rsidR="006C17F8" w:rsidRDefault="006C17F8" w:rsidP="002D3562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3</w:t>
            </w:r>
          </w:p>
        </w:tc>
        <w:tc>
          <w:tcPr>
            <w:tcW w:w="2052" w:type="dxa"/>
            <w:vAlign w:val="center"/>
          </w:tcPr>
          <w:p w:rsidR="006C17F8" w:rsidRDefault="006C17F8" w:rsidP="002D3562">
            <w:pPr>
              <w:jc w:val="center"/>
            </w:pPr>
            <w:r>
              <w:t>Year after investment</w:t>
            </w:r>
          </w:p>
        </w:tc>
        <w:tc>
          <w:tcPr>
            <w:tcW w:w="2148" w:type="dxa"/>
            <w:vAlign w:val="center"/>
          </w:tcPr>
          <w:p w:rsidR="006C17F8" w:rsidRDefault="006C17F8" w:rsidP="002D3562">
            <w:pPr>
              <w:jc w:val="center"/>
            </w:pPr>
            <w:r>
              <w:t>Percent</w:t>
            </w:r>
          </w:p>
        </w:tc>
        <w:tc>
          <w:tcPr>
            <w:tcW w:w="980" w:type="dxa"/>
            <w:vMerge w:val="restart"/>
            <w:vAlign w:val="center"/>
          </w:tcPr>
          <w:p w:rsidR="006C17F8" w:rsidRDefault="006C17F8" w:rsidP="002D3562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1(b)</w:t>
            </w: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0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>
              <w:t>0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0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5%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>
              <w:t>0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1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5%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2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>
              <w:t>8%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5%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 w:rsidRPr="00426759">
              <w:t>8%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3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6%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4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 w:rsidRPr="00426759">
              <w:t>8%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4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6%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5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 w:rsidRPr="00426759">
              <w:t>8%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6%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6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>
              <w:t>7%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7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6%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Merge/>
            <w:vAlign w:val="center"/>
          </w:tcPr>
          <w:p w:rsidR="006C17F8" w:rsidRDefault="006C17F8" w:rsidP="002D3562"/>
        </w:tc>
        <w:tc>
          <w:tcPr>
            <w:tcW w:w="2108" w:type="dxa"/>
          </w:tcPr>
          <w:p w:rsidR="006C17F8" w:rsidRDefault="006C17F8" w:rsidP="002D3562">
            <w:pPr>
              <w:jc w:val="center"/>
            </w:pPr>
            <w:r>
              <w:t>Total</w:t>
            </w:r>
          </w:p>
        </w:tc>
        <w:tc>
          <w:tcPr>
            <w:tcW w:w="2109" w:type="dxa"/>
          </w:tcPr>
          <w:p w:rsidR="006C17F8" w:rsidRDefault="006C17F8" w:rsidP="002D3562">
            <w:pPr>
              <w:jc w:val="center"/>
            </w:pPr>
            <w:r>
              <w:t>39%</w:t>
            </w:r>
          </w:p>
        </w:tc>
        <w:tc>
          <w:tcPr>
            <w:tcW w:w="963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  <w:tc>
          <w:tcPr>
            <w:tcW w:w="2052" w:type="dxa"/>
          </w:tcPr>
          <w:p w:rsidR="006C17F8" w:rsidRDefault="006C17F8" w:rsidP="002D3562">
            <w:pPr>
              <w:jc w:val="center"/>
            </w:pPr>
            <w:r>
              <w:t>Total</w:t>
            </w:r>
          </w:p>
        </w:tc>
        <w:tc>
          <w:tcPr>
            <w:tcW w:w="2148" w:type="dxa"/>
          </w:tcPr>
          <w:p w:rsidR="006C17F8" w:rsidRDefault="006C17F8" w:rsidP="002D3562">
            <w:pPr>
              <w:jc w:val="center"/>
            </w:pPr>
            <w:r>
              <w:t>39%</w:t>
            </w:r>
          </w:p>
        </w:tc>
        <w:tc>
          <w:tcPr>
            <w:tcW w:w="980" w:type="dxa"/>
            <w:vMerge/>
            <w:vAlign w:val="center"/>
          </w:tcPr>
          <w:p w:rsidR="006C17F8" w:rsidRDefault="006C17F8" w:rsidP="002D3562">
            <w:pPr>
              <w:jc w:val="center"/>
            </w:pPr>
          </w:p>
        </w:tc>
      </w:tr>
      <w:tr w:rsidR="006C17F8" w:rsidTr="002B32C2">
        <w:tc>
          <w:tcPr>
            <w:tcW w:w="2590" w:type="dxa"/>
            <w:vAlign w:val="center"/>
          </w:tcPr>
          <w:p w:rsidR="006C17F8" w:rsidRDefault="006C17F8" w:rsidP="002D3562">
            <w:r>
              <w:t>Tax credit authority</w:t>
            </w:r>
          </w:p>
        </w:tc>
        <w:tc>
          <w:tcPr>
            <w:tcW w:w="4217" w:type="dxa"/>
            <w:gridSpan w:val="2"/>
            <w:vAlign w:val="center"/>
          </w:tcPr>
          <w:p w:rsidR="006C17F8" w:rsidRDefault="006C17F8" w:rsidP="006C17F8">
            <w:r>
              <w:t>$250 million of qualified equity investments (or $97.5 million in tax reductions at 39% credit rate)</w:t>
            </w:r>
          </w:p>
        </w:tc>
        <w:tc>
          <w:tcPr>
            <w:tcW w:w="963" w:type="dxa"/>
            <w:vAlign w:val="center"/>
          </w:tcPr>
          <w:p w:rsidR="006C17F8" w:rsidRDefault="006C17F8" w:rsidP="002D3562">
            <w:pPr>
              <w:jc w:val="center"/>
            </w:pPr>
            <w:r>
              <w:t xml:space="preserve">5, </w:t>
            </w:r>
            <w:proofErr w:type="spellStart"/>
            <w:r>
              <w:t>subd</w:t>
            </w:r>
            <w:proofErr w:type="spellEnd"/>
            <w:r>
              <w:t>. 4</w:t>
            </w:r>
          </w:p>
        </w:tc>
        <w:tc>
          <w:tcPr>
            <w:tcW w:w="4200" w:type="dxa"/>
            <w:gridSpan w:val="2"/>
          </w:tcPr>
          <w:p w:rsidR="006C17F8" w:rsidRDefault="006C17F8" w:rsidP="00EF43DC">
            <w:r>
              <w:t>$300 million of qualified equity investments (or $117 million in tax reductions at 39% credit rate)</w:t>
            </w:r>
          </w:p>
        </w:tc>
        <w:tc>
          <w:tcPr>
            <w:tcW w:w="980" w:type="dxa"/>
            <w:vAlign w:val="center"/>
          </w:tcPr>
          <w:p w:rsidR="006C17F8" w:rsidRDefault="006C17F8" w:rsidP="002D3562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4</w:t>
            </w:r>
          </w:p>
        </w:tc>
      </w:tr>
      <w:tr w:rsidR="00374A38" w:rsidTr="002B32C2">
        <w:tc>
          <w:tcPr>
            <w:tcW w:w="2590" w:type="dxa"/>
            <w:vAlign w:val="center"/>
          </w:tcPr>
          <w:p w:rsidR="00374A38" w:rsidRDefault="00374A38" w:rsidP="00374A38">
            <w:r>
              <w:t>Businesses or projects that qualify as creditable investments</w:t>
            </w:r>
          </w:p>
        </w:tc>
        <w:tc>
          <w:tcPr>
            <w:tcW w:w="4217" w:type="dxa"/>
            <w:gridSpan w:val="2"/>
            <w:vAlign w:val="center"/>
          </w:tcPr>
          <w:p w:rsidR="00374A38" w:rsidRDefault="00374A38" w:rsidP="005B00E1">
            <w:r>
              <w:t>Must meet federal new market credit requirements and not more than 15% of revenue may come from real estate rental (other than</w:t>
            </w:r>
            <w:r w:rsidR="005B00E1">
              <w:t xml:space="preserve"> rents</w:t>
            </w:r>
            <w:r>
              <w:t xml:space="preserve"> paid by a</w:t>
            </w:r>
            <w:r w:rsidR="005B00E1">
              <w:t xml:space="preserve"> business</w:t>
            </w:r>
            <w:r>
              <w:t xml:space="preserve"> controlled the community development </w:t>
            </w:r>
            <w:r w:rsidR="005B00E1">
              <w:t xml:space="preserve">entity, which </w:t>
            </w:r>
            <w:r>
              <w:t>is the primary tenant</w:t>
            </w:r>
            <w:r w:rsidR="005B00E1">
              <w:t xml:space="preserve"> of the r</w:t>
            </w:r>
            <w:r w:rsidR="006D5090">
              <w:t>ented r</w:t>
            </w:r>
            <w:r w:rsidR="005B00E1">
              <w:t>eal estate</w:t>
            </w:r>
            <w:r>
              <w:t>)</w:t>
            </w:r>
          </w:p>
        </w:tc>
        <w:tc>
          <w:tcPr>
            <w:tcW w:w="963" w:type="dxa"/>
            <w:vAlign w:val="center"/>
          </w:tcPr>
          <w:p w:rsidR="00374A38" w:rsidRDefault="00374A38" w:rsidP="00374A38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9</w:t>
            </w:r>
          </w:p>
        </w:tc>
        <w:tc>
          <w:tcPr>
            <w:tcW w:w="4200" w:type="dxa"/>
            <w:gridSpan w:val="2"/>
            <w:vAlign w:val="center"/>
          </w:tcPr>
          <w:p w:rsidR="00374A38" w:rsidRDefault="00374A38" w:rsidP="00374A38">
            <w:r>
              <w:t>Must meet the federal new market credit requirements and must not:</w:t>
            </w:r>
          </w:p>
          <w:p w:rsidR="00374A38" w:rsidRDefault="00374A38" w:rsidP="00374A38">
            <w:pPr>
              <w:pStyle w:val="ListParagraph"/>
              <w:numPr>
                <w:ilvl w:val="0"/>
                <w:numId w:val="2"/>
              </w:numPr>
            </w:pPr>
            <w:r>
              <w:t>An insurance, banking, lending, lobbying, political consulting, or leisure business; or</w:t>
            </w:r>
          </w:p>
          <w:p w:rsidR="00374A38" w:rsidRDefault="00374A38" w:rsidP="00374A38">
            <w:pPr>
              <w:pStyle w:val="ListParagraph"/>
              <w:numPr>
                <w:ilvl w:val="0"/>
                <w:numId w:val="2"/>
              </w:numPr>
            </w:pPr>
            <w:r>
              <w:t>Be involved in business activity consisting of the operation of a golf course, country club, suntan facility, hot tub facility, massage parlor, race track, gambling facility, or off-sale liquor store</w:t>
            </w:r>
          </w:p>
        </w:tc>
        <w:tc>
          <w:tcPr>
            <w:tcW w:w="980" w:type="dxa"/>
            <w:vAlign w:val="center"/>
          </w:tcPr>
          <w:p w:rsidR="00374A38" w:rsidRDefault="00374A38" w:rsidP="00374A38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 (l)</w:t>
            </w:r>
          </w:p>
        </w:tc>
      </w:tr>
      <w:tr w:rsidR="001B177A" w:rsidTr="002B32C2">
        <w:tc>
          <w:tcPr>
            <w:tcW w:w="2590" w:type="dxa"/>
            <w:vAlign w:val="center"/>
          </w:tcPr>
          <w:p w:rsidR="001B177A" w:rsidRDefault="001B177A" w:rsidP="00374A38">
            <w:r>
              <w:lastRenderedPageBreak/>
              <w:t>Dollar limit for each business</w:t>
            </w:r>
          </w:p>
        </w:tc>
        <w:tc>
          <w:tcPr>
            <w:tcW w:w="4217" w:type="dxa"/>
            <w:gridSpan w:val="2"/>
            <w:vAlign w:val="center"/>
          </w:tcPr>
          <w:p w:rsidR="001B177A" w:rsidRDefault="001B177A" w:rsidP="00374A38">
            <w:r>
              <w:t>$5 million</w:t>
            </w:r>
          </w:p>
        </w:tc>
        <w:tc>
          <w:tcPr>
            <w:tcW w:w="963" w:type="dxa"/>
            <w:vAlign w:val="center"/>
          </w:tcPr>
          <w:p w:rsidR="001B177A" w:rsidRDefault="001B177A" w:rsidP="00374A38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12</w:t>
            </w:r>
          </w:p>
        </w:tc>
        <w:tc>
          <w:tcPr>
            <w:tcW w:w="4200" w:type="dxa"/>
            <w:gridSpan w:val="2"/>
            <w:vAlign w:val="center"/>
          </w:tcPr>
          <w:p w:rsidR="001B177A" w:rsidRDefault="001B177A" w:rsidP="00374A38">
            <w:r>
              <w:t>None</w:t>
            </w:r>
          </w:p>
        </w:tc>
        <w:tc>
          <w:tcPr>
            <w:tcW w:w="980" w:type="dxa"/>
            <w:vAlign w:val="center"/>
          </w:tcPr>
          <w:p w:rsidR="001B177A" w:rsidRDefault="001B177A" w:rsidP="00374A38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Community development entities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Entities that meet federal new market credit rules that have: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6"/>
              </w:numPr>
            </w:pPr>
            <w:r>
              <w:t>Received federal allocations for projects in Minnesota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6"/>
              </w:numPr>
            </w:pPr>
            <w:r>
              <w:t>Excludes financial institutions (other than ones chartered or headquartered in Minnesota)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10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Entities that meet federal new market credit rules that have: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6"/>
              </w:numPr>
            </w:pPr>
            <w:r>
              <w:t>Received federal allocations for projects in Minnesota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6"/>
              </w:numPr>
            </w:pPr>
            <w:r>
              <w:t>Direct lending experience serving disadvantaged communities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 (m)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Portion of credits that must be invested in qualifying securities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100% of cash purchase price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11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95% of cash purchase price (85% of amount returned or recovered by investor)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 (n)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Pr="00846A78" w:rsidRDefault="005B00E1" w:rsidP="005B00E1">
            <w:pPr>
              <w:rPr>
                <w:b/>
              </w:rPr>
            </w:pPr>
            <w:r w:rsidRPr="00846A78">
              <w:rPr>
                <w:b/>
              </w:rPr>
              <w:t>Allocation Process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/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</w:tcPr>
          <w:p w:rsidR="005B00E1" w:rsidRDefault="005B00E1" w:rsidP="005B00E1"/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Method of awarding tax credits to applicants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First-come-first-served for qualifying applicants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5, </w:t>
            </w:r>
            <w:proofErr w:type="spellStart"/>
            <w:r>
              <w:t>subd</w:t>
            </w:r>
            <w:proofErr w:type="spellEnd"/>
            <w:r>
              <w:t>. 4</w:t>
            </w:r>
          </w:p>
        </w:tc>
        <w:tc>
          <w:tcPr>
            <w:tcW w:w="4200" w:type="dxa"/>
            <w:gridSpan w:val="2"/>
          </w:tcPr>
          <w:p w:rsidR="005B00E1" w:rsidRDefault="005B00E1" w:rsidP="005B00E1">
            <w:r>
              <w:t>Award allocations based on criteria, including: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1"/>
              </w:numPr>
            </w:pPr>
            <w:r>
              <w:t>Community development entity’s experience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1"/>
              </w:numPr>
            </w:pPr>
            <w:r>
              <w:t>Keeping benefits in Minnesota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1"/>
              </w:numPr>
            </w:pPr>
            <w:r>
              <w:t>Wages and benefits above federal poverty level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1"/>
              </w:numPr>
            </w:pPr>
            <w:r>
              <w:t>Pairing with federal new markets credit allocation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1"/>
              </w:numPr>
            </w:pPr>
            <w:r>
              <w:t>Non-state financial contributions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5 and 7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Dispersion of allocations to projects across state?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Not required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Proportional allocation to projects in Greater Minnesota required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5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lastRenderedPageBreak/>
              <w:t>Preapproval authority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Qualified community development entity may request DEED to determine if an investment qualifies for the credit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9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No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Application fee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$5,000 nonrefundable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5, </w:t>
            </w:r>
            <w:proofErr w:type="spellStart"/>
            <w:r>
              <w:t>subd</w:t>
            </w:r>
            <w:proofErr w:type="spellEnd"/>
            <w:r>
              <w:t>. 1 (9)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Nonrefundable fee to be set by DEED; 25% may be deferred until 180 days after award of credits and 25% until 270 days after award of credits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10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Other fees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 xml:space="preserve">Refundable performance fee required equal to 0.5% of equity investment amount; fee is forfeited (in part of whole), if qualified community entity fails to issue required investments or fails other requirements 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>. 13;</w:t>
            </w:r>
          </w:p>
          <w:p w:rsidR="005B00E1" w:rsidRDefault="005B00E1" w:rsidP="005B00E1">
            <w:pPr>
              <w:jc w:val="center"/>
            </w:pPr>
            <w:r>
              <w:t>8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Administrative fee to be set by DEED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 xml:space="preserve"> 11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 xml:space="preserve">Administrative rules 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Not applicable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DEED authorized to promulgate administrative rules; certain fees to be set administratively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14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Pr="007B6BF0" w:rsidRDefault="005B00E1" w:rsidP="005B00E1">
            <w:pPr>
              <w:rPr>
                <w:b/>
              </w:rPr>
            </w:pPr>
            <w:r w:rsidRPr="007B6BF0">
              <w:rPr>
                <w:b/>
              </w:rPr>
              <w:t xml:space="preserve">Recapture of tax credits 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/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/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Types of noncompliance triggering recapture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pPr>
              <w:pStyle w:val="ListParagraph"/>
              <w:numPr>
                <w:ilvl w:val="0"/>
                <w:numId w:val="3"/>
              </w:numPr>
            </w:pPr>
            <w:r>
              <w:t>Issuer redeems or repays principal before end of 7-year period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3"/>
              </w:numPr>
            </w:pPr>
            <w:r>
              <w:t>Issuer fails to invest 100% of investment in qualifying projects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6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Federal new markets credit is recaptured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6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Recapture allowed for credits already claimed on tax returns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No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6 (b)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Yes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6 (b)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Cure period allowed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Yes – 6 months from notice of noncompliance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7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No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lastRenderedPageBreak/>
              <w:t>DOR audit authority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No (or unclear)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Yes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2, </w:t>
            </w:r>
            <w:proofErr w:type="spellStart"/>
            <w:r>
              <w:t>subd</w:t>
            </w:r>
            <w:proofErr w:type="spellEnd"/>
            <w:r>
              <w:t xml:space="preserve">. 2; 3, </w:t>
            </w:r>
            <w:proofErr w:type="spellStart"/>
            <w:r>
              <w:t>subd</w:t>
            </w:r>
            <w:proofErr w:type="spellEnd"/>
            <w:r>
              <w:t>. 2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Pr="00374A38" w:rsidRDefault="005B00E1" w:rsidP="005B00E1">
            <w:pPr>
              <w:rPr>
                <w:b/>
              </w:rPr>
            </w:pPr>
            <w:r w:rsidRPr="00374A38">
              <w:rPr>
                <w:b/>
              </w:rPr>
              <w:t>Reporting requirements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/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/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Qualified community development entity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Annually within 30 days of credit allowance date: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Businesses invested in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Type and location of businesses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Number of jobs and compensation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Bank records showing disbursements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CFO verified statement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4"/>
              </w:numPr>
            </w:pPr>
            <w:r>
              <w:t>Information on recapture of federal credit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11 (a)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Annually report within 180 days of fiscal year end: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5"/>
              </w:numPr>
            </w:pPr>
            <w:r>
              <w:t>Types of industries in which investments were made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5"/>
              </w:numPr>
            </w:pPr>
            <w:r>
              <w:t>County location of businesses</w:t>
            </w:r>
          </w:p>
          <w:p w:rsidR="005B00E1" w:rsidRDefault="005B00E1" w:rsidP="005B00E1">
            <w:pPr>
              <w:pStyle w:val="ListParagraph"/>
              <w:numPr>
                <w:ilvl w:val="0"/>
                <w:numId w:val="5"/>
              </w:numPr>
            </w:pPr>
            <w:r>
              <w:t>Information needed to verify continued compliance with federal tax credit provisions</w:t>
            </w:r>
          </w:p>
          <w:p w:rsidR="005B00E1" w:rsidRDefault="005B00E1" w:rsidP="005B00E1">
            <w:pPr>
              <w:pStyle w:val="ListParagraph"/>
              <w:ind w:left="0"/>
            </w:pPr>
            <w:r>
              <w:t>Annually submit within 120 days of fiscal year end audited financial statements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9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Default="005B00E1" w:rsidP="005B00E1">
            <w:r>
              <w:t>Report to legislature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5B00E1">
            <w:r>
              <w:t>Annual report listing the qualified community development entities and the detail on businesses required in the entity’s annual report to DEED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  <w:r>
              <w:t>11 (b)</w:t>
            </w: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 xml:space="preserve">One report 12/13/2022 on </w:t>
            </w:r>
            <w:r w:rsidR="00F5038E">
              <w:t xml:space="preserve">program </w:t>
            </w:r>
            <w:r>
              <w:t>implementation, including an evaluation of the program’s effectiveness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13</w:t>
            </w:r>
          </w:p>
        </w:tc>
      </w:tr>
      <w:tr w:rsidR="005B00E1" w:rsidTr="002B32C2">
        <w:tc>
          <w:tcPr>
            <w:tcW w:w="2590" w:type="dxa"/>
            <w:vAlign w:val="center"/>
          </w:tcPr>
          <w:p w:rsidR="005B00E1" w:rsidRPr="00D471B0" w:rsidRDefault="005B00E1" w:rsidP="005B00E1">
            <w:pPr>
              <w:rPr>
                <w:b/>
              </w:rPr>
            </w:pPr>
            <w:r w:rsidRPr="00D471B0">
              <w:rPr>
                <w:b/>
              </w:rPr>
              <w:t>Expiration</w:t>
            </w:r>
            <w:r>
              <w:rPr>
                <w:b/>
              </w:rPr>
              <w:t xml:space="preserve"> of program</w:t>
            </w:r>
          </w:p>
        </w:tc>
        <w:tc>
          <w:tcPr>
            <w:tcW w:w="4217" w:type="dxa"/>
            <w:gridSpan w:val="2"/>
            <w:vAlign w:val="center"/>
          </w:tcPr>
          <w:p w:rsidR="005B00E1" w:rsidRDefault="005B00E1" w:rsidP="009960E8">
            <w:r>
              <w:t xml:space="preserve">None explicitly provided; implicitly would end when all of the $250 million in credit allocations have been </w:t>
            </w:r>
            <w:r w:rsidR="009960E8">
              <w:t>used up</w:t>
            </w:r>
          </w:p>
        </w:tc>
        <w:tc>
          <w:tcPr>
            <w:tcW w:w="963" w:type="dxa"/>
            <w:vAlign w:val="center"/>
          </w:tcPr>
          <w:p w:rsidR="005B00E1" w:rsidRDefault="005B00E1" w:rsidP="005B00E1">
            <w:pPr>
              <w:jc w:val="center"/>
            </w:pPr>
          </w:p>
        </w:tc>
        <w:tc>
          <w:tcPr>
            <w:tcW w:w="4200" w:type="dxa"/>
            <w:gridSpan w:val="2"/>
            <w:vAlign w:val="center"/>
          </w:tcPr>
          <w:p w:rsidR="005B00E1" w:rsidRDefault="005B00E1" w:rsidP="005B00E1">
            <w:r>
              <w:t>2029 or whenever the last tax credits have been used or cancelled, whichever occurs earlier</w:t>
            </w:r>
          </w:p>
        </w:tc>
        <w:tc>
          <w:tcPr>
            <w:tcW w:w="980" w:type="dxa"/>
            <w:vAlign w:val="center"/>
          </w:tcPr>
          <w:p w:rsidR="005B00E1" w:rsidRDefault="005B00E1" w:rsidP="005B00E1">
            <w:pPr>
              <w:jc w:val="center"/>
            </w:pPr>
            <w:r>
              <w:t xml:space="preserve">1, </w:t>
            </w:r>
            <w:proofErr w:type="spellStart"/>
            <w:r>
              <w:t>subd</w:t>
            </w:r>
            <w:proofErr w:type="spellEnd"/>
            <w:r>
              <w:t>. 14</w:t>
            </w:r>
          </w:p>
        </w:tc>
      </w:tr>
    </w:tbl>
    <w:p w:rsidR="00F417BC" w:rsidRPr="00827C84" w:rsidRDefault="00F417BC" w:rsidP="00EF43DC"/>
    <w:sectPr w:rsidR="00F417BC" w:rsidRPr="00827C84" w:rsidSect="004B1FE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09" w:rsidRDefault="00D51009" w:rsidP="007B6BF0">
      <w:r>
        <w:separator/>
      </w:r>
    </w:p>
  </w:endnote>
  <w:endnote w:type="continuationSeparator" w:id="0">
    <w:p w:rsidR="00D51009" w:rsidRDefault="00D51009" w:rsidP="007B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B1" w:rsidRDefault="007A44B1">
    <w:pPr>
      <w:pStyle w:val="Footer"/>
    </w:pPr>
    <w:r>
      <w:t>Joel Michael</w:t>
    </w:r>
  </w:p>
  <w:p w:rsidR="007A44B1" w:rsidRDefault="007A44B1">
    <w:pPr>
      <w:pStyle w:val="Footer"/>
    </w:pPr>
    <w:r>
      <w:t>House Research</w:t>
    </w:r>
  </w:p>
  <w:p w:rsidR="007B6BF0" w:rsidRDefault="007B6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09" w:rsidRDefault="00D51009" w:rsidP="007B6BF0">
      <w:r>
        <w:separator/>
      </w:r>
    </w:p>
  </w:footnote>
  <w:footnote w:type="continuationSeparator" w:id="0">
    <w:p w:rsidR="00D51009" w:rsidRDefault="00D51009" w:rsidP="007B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3074"/>
    <w:multiLevelType w:val="hybridMultilevel"/>
    <w:tmpl w:val="32E00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C06516"/>
    <w:multiLevelType w:val="hybridMultilevel"/>
    <w:tmpl w:val="79EE0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711EC0"/>
    <w:multiLevelType w:val="hybridMultilevel"/>
    <w:tmpl w:val="D230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9681E"/>
    <w:multiLevelType w:val="hybridMultilevel"/>
    <w:tmpl w:val="133C5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E64FA8"/>
    <w:multiLevelType w:val="hybridMultilevel"/>
    <w:tmpl w:val="644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2C22E1"/>
    <w:multiLevelType w:val="hybridMultilevel"/>
    <w:tmpl w:val="97123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7"/>
    <w:rsid w:val="000F2976"/>
    <w:rsid w:val="00155E8D"/>
    <w:rsid w:val="001B177A"/>
    <w:rsid w:val="001C72E0"/>
    <w:rsid w:val="0021651A"/>
    <w:rsid w:val="002B32C2"/>
    <w:rsid w:val="002C048E"/>
    <w:rsid w:val="002C486D"/>
    <w:rsid w:val="002D3562"/>
    <w:rsid w:val="00367738"/>
    <w:rsid w:val="00373772"/>
    <w:rsid w:val="00374A38"/>
    <w:rsid w:val="00382B93"/>
    <w:rsid w:val="00427695"/>
    <w:rsid w:val="004B1FE7"/>
    <w:rsid w:val="004B4131"/>
    <w:rsid w:val="004C6439"/>
    <w:rsid w:val="004F2B35"/>
    <w:rsid w:val="004F5222"/>
    <w:rsid w:val="005B00E1"/>
    <w:rsid w:val="005E524C"/>
    <w:rsid w:val="006C17F8"/>
    <w:rsid w:val="006D15BB"/>
    <w:rsid w:val="006D5090"/>
    <w:rsid w:val="0074017C"/>
    <w:rsid w:val="007836EF"/>
    <w:rsid w:val="00787E77"/>
    <w:rsid w:val="007A44B1"/>
    <w:rsid w:val="007B6BF0"/>
    <w:rsid w:val="007C738B"/>
    <w:rsid w:val="007E120B"/>
    <w:rsid w:val="00827C84"/>
    <w:rsid w:val="00846A78"/>
    <w:rsid w:val="00847EF2"/>
    <w:rsid w:val="00881DF4"/>
    <w:rsid w:val="008A0E9C"/>
    <w:rsid w:val="0095325A"/>
    <w:rsid w:val="009960E8"/>
    <w:rsid w:val="00A67E95"/>
    <w:rsid w:val="00AB77F0"/>
    <w:rsid w:val="00CE1714"/>
    <w:rsid w:val="00D0088B"/>
    <w:rsid w:val="00D07CFB"/>
    <w:rsid w:val="00D2127E"/>
    <w:rsid w:val="00D421EA"/>
    <w:rsid w:val="00D471B0"/>
    <w:rsid w:val="00D51009"/>
    <w:rsid w:val="00DB2F7E"/>
    <w:rsid w:val="00DC0E65"/>
    <w:rsid w:val="00DD657F"/>
    <w:rsid w:val="00E128AC"/>
    <w:rsid w:val="00EF43DC"/>
    <w:rsid w:val="00EF5B38"/>
    <w:rsid w:val="00F417BC"/>
    <w:rsid w:val="00F5038E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565B9-CC5B-4646-A0A0-9D0E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B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A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BF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B6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BF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0C6B1F-FDB4-4019-8300-656350FD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Michael</dc:creator>
  <cp:keywords/>
  <dc:description/>
  <cp:lastModifiedBy>Software Administration</cp:lastModifiedBy>
  <cp:revision>2</cp:revision>
  <cp:lastPrinted>2015-03-02T20:54:00Z</cp:lastPrinted>
  <dcterms:created xsi:type="dcterms:W3CDTF">2015-03-02T21:58:00Z</dcterms:created>
  <dcterms:modified xsi:type="dcterms:W3CDTF">2015-03-02T21:58:00Z</dcterms:modified>
</cp:coreProperties>
</file>