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E0A" w:rsidRPr="005B7E0A" w:rsidRDefault="005B7E0A" w:rsidP="005B7E0A">
      <w:pPr>
        <w:spacing w:after="0" w:line="240" w:lineRule="auto"/>
        <w:rPr>
          <w:rFonts w:ascii="Calibri" w:eastAsia="Times New Roman" w:hAnsi="Calibri" w:cs="Calibri"/>
          <w:b/>
          <w:bCs/>
          <w:u w:val="single"/>
        </w:rPr>
      </w:pPr>
      <w:bookmarkStart w:id="0" w:name="_GoBack"/>
      <w:bookmarkEnd w:id="0"/>
      <w:r w:rsidRPr="005B7E0A">
        <w:rPr>
          <w:rFonts w:ascii="Calibri" w:eastAsia="Times New Roman" w:hAnsi="Calibri" w:cs="Calibri"/>
          <w:b/>
          <w:bCs/>
          <w:u w:val="single"/>
        </w:rPr>
        <w:t>Home Care Nursing Providers</w:t>
      </w:r>
    </w:p>
    <w:p w:rsidR="005B7E0A" w:rsidRPr="005B7E0A" w:rsidRDefault="005B7E0A" w:rsidP="005B7E0A">
      <w:pPr>
        <w:spacing w:after="0" w:line="240" w:lineRule="auto"/>
        <w:rPr>
          <w:rFonts w:ascii="Calibri" w:eastAsia="Times New Roman" w:hAnsi="Calibri" w:cs="Calibri"/>
        </w:rPr>
      </w:pPr>
      <w:r w:rsidRPr="005B7E0A">
        <w:rPr>
          <w:rFonts w:ascii="Calibri" w:eastAsia="Times New Roman" w:hAnsi="Calibri" w:cs="Calibri"/>
        </w:rPr>
        <w:t>Currently, there are 655 providers enrolled and approved to provide Home Care Nursing services. Of these 383 can provide services through fee-for-service or managed care programs and an additional 272 can provide services through managed care. However, it is important to note that this number includes a mixture of agencies and individual nurses who may only serve one person. Also, if an agency has multiple locations, each individual location is listed as a unique enrolled provider. In addition, not all enrolled providers are actively offering Home Care Nursing Services. For example, many Home Health Agencies that provide skilled nursing may also be eligible to provide home care nursing even though they do not actively offer it. For context, in SFY 2016, 197 providers (both agencies and individual nurses) were paid for home care nursing services through fee-for-service programs.</w:t>
      </w:r>
    </w:p>
    <w:p w:rsidR="005B7E0A" w:rsidRPr="005B7E0A" w:rsidRDefault="005B7E0A" w:rsidP="005B7E0A">
      <w:pPr>
        <w:spacing w:after="0" w:line="240" w:lineRule="auto"/>
        <w:rPr>
          <w:rFonts w:ascii="Calibri" w:eastAsia="Times New Roman" w:hAnsi="Calibri" w:cs="Calibri"/>
        </w:rPr>
      </w:pPr>
    </w:p>
    <w:p w:rsidR="005B7E0A" w:rsidRPr="005B7E0A" w:rsidRDefault="005B7E0A" w:rsidP="005B7E0A">
      <w:pPr>
        <w:spacing w:after="0" w:line="240" w:lineRule="auto"/>
        <w:rPr>
          <w:rFonts w:ascii="Calibri" w:eastAsia="Times New Roman" w:hAnsi="Calibri" w:cs="Calibri"/>
          <w:b/>
          <w:bCs/>
          <w:u w:val="single"/>
        </w:rPr>
      </w:pPr>
      <w:r w:rsidRPr="005B7E0A">
        <w:rPr>
          <w:rFonts w:ascii="Calibri" w:eastAsia="Times New Roman" w:hAnsi="Calibri" w:cs="Calibri"/>
          <w:b/>
          <w:bCs/>
          <w:u w:val="single"/>
        </w:rPr>
        <w:t>Home Care Nursing Service Utilization</w:t>
      </w:r>
    </w:p>
    <w:p w:rsidR="005B7E0A" w:rsidRPr="005B7E0A" w:rsidRDefault="005B7E0A" w:rsidP="005B7E0A">
      <w:pPr>
        <w:spacing w:after="0" w:line="240" w:lineRule="auto"/>
        <w:rPr>
          <w:rFonts w:ascii="Calibri" w:eastAsia="Times New Roman" w:hAnsi="Calibri" w:cs="Calibri"/>
        </w:rPr>
      </w:pPr>
      <w:r w:rsidRPr="005B7E0A">
        <w:rPr>
          <w:rFonts w:ascii="Calibri" w:eastAsia="Times New Roman" w:hAnsi="Calibri" w:cs="Calibri"/>
        </w:rPr>
        <w:t>In comparing authorized and paid services, it is important to note that authorizations are based on the circumstances in which a person needs the greatest amount of assistance. There are several factors that impact the proportion of authorized services that a person used. For example, time spent in a hospital or having an informal caregiver, may reduce the amount of time that someone needs home care nursing services.</w:t>
      </w:r>
    </w:p>
    <w:p w:rsidR="005B7E0A" w:rsidRPr="005B7E0A" w:rsidRDefault="005B7E0A" w:rsidP="005B7E0A">
      <w:pPr>
        <w:spacing w:after="60" w:line="240" w:lineRule="auto"/>
        <w:rPr>
          <w:rFonts w:ascii="Calibri" w:eastAsia="Times New Roman" w:hAnsi="Calibri" w:cs="Calibri"/>
          <w:color w:val="1F497D"/>
        </w:rPr>
      </w:pPr>
    </w:p>
    <w:tbl>
      <w:tblPr>
        <w:tblW w:w="10157" w:type="dxa"/>
        <w:tblCellMar>
          <w:left w:w="0" w:type="dxa"/>
          <w:right w:w="0" w:type="dxa"/>
        </w:tblCellMar>
        <w:tblLook w:val="04A0" w:firstRow="1" w:lastRow="0" w:firstColumn="1" w:lastColumn="0" w:noHBand="0" w:noVBand="1"/>
      </w:tblPr>
      <w:tblGrid>
        <w:gridCol w:w="1124"/>
        <w:gridCol w:w="2033"/>
        <w:gridCol w:w="1477"/>
        <w:gridCol w:w="1363"/>
        <w:gridCol w:w="1378"/>
        <w:gridCol w:w="1333"/>
        <w:gridCol w:w="1449"/>
        <w:gridCol w:w="21"/>
      </w:tblGrid>
      <w:tr w:rsidR="005B7E0A" w:rsidRPr="005B7E0A" w:rsidTr="005B7E0A">
        <w:trPr>
          <w:trHeight w:val="268"/>
        </w:trPr>
        <w:tc>
          <w:tcPr>
            <w:tcW w:w="10157" w:type="dxa"/>
            <w:gridSpan w:val="7"/>
            <w:noWrap/>
            <w:tcMar>
              <w:top w:w="0" w:type="dxa"/>
              <w:left w:w="108" w:type="dxa"/>
              <w:bottom w:w="0" w:type="dxa"/>
              <w:right w:w="108" w:type="dxa"/>
            </w:tcMar>
            <w:vAlign w:val="bottom"/>
            <w:hideMark/>
          </w:tcPr>
          <w:p w:rsidR="005B7E0A" w:rsidRPr="005B7E0A" w:rsidRDefault="005B7E0A" w:rsidP="005B7E0A">
            <w:pPr>
              <w:spacing w:after="0" w:line="252" w:lineRule="auto"/>
              <w:rPr>
                <w:rFonts w:ascii="Calibri" w:eastAsia="Times New Roman" w:hAnsi="Calibri" w:cs="Calibri"/>
                <w:b/>
                <w:bCs/>
                <w:color w:val="595959"/>
                <w:sz w:val="24"/>
                <w:szCs w:val="24"/>
              </w:rPr>
            </w:pPr>
            <w:r w:rsidRPr="005B7E0A">
              <w:rPr>
                <w:rFonts w:ascii="Calibri" w:eastAsia="Times New Roman" w:hAnsi="Calibri" w:cs="Calibri"/>
                <w:b/>
                <w:bCs/>
                <w:color w:val="595959"/>
                <w:sz w:val="24"/>
                <w:szCs w:val="24"/>
              </w:rPr>
              <w:t>Home Care Nursing Utilization* by Fiscal Year</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595959"/>
                <w:sz w:val="24"/>
                <w:szCs w:val="24"/>
              </w:rPr>
            </w:pPr>
          </w:p>
        </w:tc>
      </w:tr>
      <w:tr w:rsidR="005B7E0A" w:rsidRPr="005B7E0A" w:rsidTr="005B7E0A">
        <w:trPr>
          <w:trHeight w:val="268"/>
        </w:trPr>
        <w:tc>
          <w:tcPr>
            <w:tcW w:w="1124" w:type="dxa"/>
            <w:tcBorders>
              <w:top w:val="nil"/>
              <w:left w:val="nil"/>
              <w:bottom w:val="single" w:sz="12" w:space="0" w:color="auto"/>
              <w:right w:val="nil"/>
            </w:tcBorders>
            <w:noWrap/>
            <w:tcMar>
              <w:top w:w="0" w:type="dxa"/>
              <w:left w:w="108" w:type="dxa"/>
              <w:bottom w:w="0" w:type="dxa"/>
              <w:right w:w="108" w:type="dxa"/>
            </w:tcMar>
            <w:vAlign w:val="bottom"/>
            <w:hideMark/>
          </w:tcPr>
          <w:p w:rsidR="005B7E0A" w:rsidRPr="005B7E0A" w:rsidRDefault="005B7E0A" w:rsidP="005B7E0A">
            <w:pPr>
              <w:spacing w:after="0" w:line="252" w:lineRule="auto"/>
              <w:rPr>
                <w:rFonts w:ascii="Calibri" w:eastAsia="Times New Roman" w:hAnsi="Calibri" w:cs="Calibri"/>
                <w:b/>
                <w:bCs/>
                <w:color w:val="595959"/>
                <w:sz w:val="20"/>
                <w:szCs w:val="20"/>
              </w:rPr>
            </w:pPr>
            <w:r w:rsidRPr="005B7E0A">
              <w:rPr>
                <w:rFonts w:ascii="Calibri" w:eastAsia="Times New Roman" w:hAnsi="Calibri" w:cs="Calibri"/>
                <w:b/>
                <w:bCs/>
                <w:color w:val="595959"/>
                <w:sz w:val="20"/>
                <w:szCs w:val="20"/>
              </w:rPr>
              <w:t>Fiscal Year</w:t>
            </w:r>
          </w:p>
        </w:tc>
        <w:tc>
          <w:tcPr>
            <w:tcW w:w="2033" w:type="dxa"/>
            <w:tcBorders>
              <w:top w:val="nil"/>
              <w:left w:val="nil"/>
              <w:bottom w:val="single" w:sz="12" w:space="0" w:color="auto"/>
              <w:right w:val="nil"/>
            </w:tcBorders>
            <w:noWrap/>
            <w:tcMar>
              <w:top w:w="0" w:type="dxa"/>
              <w:left w:w="108" w:type="dxa"/>
              <w:bottom w:w="0" w:type="dxa"/>
              <w:right w:w="108" w:type="dxa"/>
            </w:tcMar>
            <w:vAlign w:val="bottom"/>
            <w:hideMark/>
          </w:tcPr>
          <w:p w:rsidR="005B7E0A" w:rsidRPr="005B7E0A" w:rsidRDefault="005B7E0A" w:rsidP="005B7E0A">
            <w:pPr>
              <w:spacing w:after="0" w:line="252" w:lineRule="auto"/>
              <w:rPr>
                <w:rFonts w:ascii="Calibri" w:eastAsia="Times New Roman" w:hAnsi="Calibri" w:cs="Calibri"/>
                <w:color w:val="000000"/>
              </w:rPr>
            </w:pPr>
          </w:p>
        </w:tc>
        <w:tc>
          <w:tcPr>
            <w:tcW w:w="1477" w:type="dxa"/>
            <w:tcBorders>
              <w:top w:val="nil"/>
              <w:left w:val="nil"/>
              <w:bottom w:val="single" w:sz="12" w:space="0" w:color="auto"/>
              <w:right w:val="nil"/>
            </w:tcBorders>
            <w:noWrap/>
            <w:tcMar>
              <w:top w:w="0" w:type="dxa"/>
              <w:left w:w="108" w:type="dxa"/>
              <w:bottom w:w="0" w:type="dxa"/>
              <w:right w:w="108" w:type="dxa"/>
            </w:tcMar>
            <w:vAlign w:val="bottom"/>
            <w:hideMark/>
          </w:tcPr>
          <w:p w:rsidR="005B7E0A" w:rsidRPr="005B7E0A" w:rsidRDefault="005B7E0A" w:rsidP="005B7E0A">
            <w:pPr>
              <w:spacing w:after="0" w:line="252" w:lineRule="auto"/>
              <w:jc w:val="center"/>
              <w:rPr>
                <w:rFonts w:ascii="Calibri" w:eastAsia="Times New Roman" w:hAnsi="Calibri" w:cs="Calibri"/>
                <w:b/>
                <w:bCs/>
                <w:color w:val="666666"/>
                <w:sz w:val="20"/>
                <w:szCs w:val="20"/>
              </w:rPr>
            </w:pPr>
            <w:r w:rsidRPr="005B7E0A">
              <w:rPr>
                <w:rFonts w:ascii="Calibri" w:eastAsia="Times New Roman" w:hAnsi="Calibri" w:cs="Calibri"/>
                <w:b/>
                <w:bCs/>
                <w:color w:val="666666"/>
                <w:sz w:val="20"/>
                <w:szCs w:val="20"/>
              </w:rPr>
              <w:t>LPN- Complex</w:t>
            </w:r>
          </w:p>
        </w:tc>
        <w:tc>
          <w:tcPr>
            <w:tcW w:w="1363" w:type="dxa"/>
            <w:tcBorders>
              <w:top w:val="nil"/>
              <w:left w:val="nil"/>
              <w:bottom w:val="single" w:sz="12" w:space="0" w:color="auto"/>
              <w:right w:val="nil"/>
            </w:tcBorders>
            <w:noWrap/>
            <w:tcMar>
              <w:top w:w="0" w:type="dxa"/>
              <w:left w:w="108" w:type="dxa"/>
              <w:bottom w:w="0" w:type="dxa"/>
              <w:right w:w="108" w:type="dxa"/>
            </w:tcMar>
            <w:vAlign w:val="bottom"/>
            <w:hideMark/>
          </w:tcPr>
          <w:p w:rsidR="005B7E0A" w:rsidRPr="005B7E0A" w:rsidRDefault="005B7E0A" w:rsidP="005B7E0A">
            <w:pPr>
              <w:spacing w:after="0" w:line="252" w:lineRule="auto"/>
              <w:jc w:val="center"/>
              <w:rPr>
                <w:rFonts w:ascii="Calibri" w:eastAsia="Times New Roman" w:hAnsi="Calibri" w:cs="Calibri"/>
                <w:b/>
                <w:bCs/>
                <w:color w:val="666666"/>
                <w:sz w:val="20"/>
                <w:szCs w:val="20"/>
              </w:rPr>
            </w:pPr>
            <w:r w:rsidRPr="005B7E0A">
              <w:rPr>
                <w:rFonts w:ascii="Calibri" w:eastAsia="Times New Roman" w:hAnsi="Calibri" w:cs="Calibri"/>
                <w:b/>
                <w:bCs/>
                <w:color w:val="666666"/>
                <w:sz w:val="20"/>
                <w:szCs w:val="20"/>
              </w:rPr>
              <w:t>LPN- Regular</w:t>
            </w:r>
          </w:p>
        </w:tc>
        <w:tc>
          <w:tcPr>
            <w:tcW w:w="1378" w:type="dxa"/>
            <w:tcBorders>
              <w:top w:val="nil"/>
              <w:left w:val="nil"/>
              <w:bottom w:val="single" w:sz="12" w:space="0" w:color="auto"/>
              <w:right w:val="nil"/>
            </w:tcBorders>
            <w:noWrap/>
            <w:tcMar>
              <w:top w:w="0" w:type="dxa"/>
              <w:left w:w="108" w:type="dxa"/>
              <w:bottom w:w="0" w:type="dxa"/>
              <w:right w:w="108" w:type="dxa"/>
            </w:tcMar>
            <w:vAlign w:val="bottom"/>
            <w:hideMark/>
          </w:tcPr>
          <w:p w:rsidR="005B7E0A" w:rsidRPr="005B7E0A" w:rsidRDefault="005B7E0A" w:rsidP="005B7E0A">
            <w:pPr>
              <w:spacing w:after="0" w:line="252" w:lineRule="auto"/>
              <w:jc w:val="center"/>
              <w:rPr>
                <w:rFonts w:ascii="Calibri" w:eastAsia="Times New Roman" w:hAnsi="Calibri" w:cs="Calibri"/>
                <w:b/>
                <w:bCs/>
                <w:color w:val="666666"/>
                <w:sz w:val="20"/>
                <w:szCs w:val="20"/>
              </w:rPr>
            </w:pPr>
            <w:r w:rsidRPr="005B7E0A">
              <w:rPr>
                <w:rFonts w:ascii="Calibri" w:eastAsia="Times New Roman" w:hAnsi="Calibri" w:cs="Calibri"/>
                <w:b/>
                <w:bCs/>
                <w:color w:val="666666"/>
                <w:sz w:val="20"/>
                <w:szCs w:val="20"/>
              </w:rPr>
              <w:t>RN- Complex</w:t>
            </w:r>
          </w:p>
        </w:tc>
        <w:tc>
          <w:tcPr>
            <w:tcW w:w="1333" w:type="dxa"/>
            <w:tcBorders>
              <w:top w:val="nil"/>
              <w:left w:val="nil"/>
              <w:bottom w:val="single" w:sz="12" w:space="0" w:color="auto"/>
              <w:right w:val="nil"/>
            </w:tcBorders>
            <w:noWrap/>
            <w:tcMar>
              <w:top w:w="0" w:type="dxa"/>
              <w:left w:w="108" w:type="dxa"/>
              <w:bottom w:w="0" w:type="dxa"/>
              <w:right w:w="108" w:type="dxa"/>
            </w:tcMar>
            <w:vAlign w:val="bottom"/>
            <w:hideMark/>
          </w:tcPr>
          <w:p w:rsidR="005B7E0A" w:rsidRPr="005B7E0A" w:rsidRDefault="005B7E0A" w:rsidP="005B7E0A">
            <w:pPr>
              <w:spacing w:after="0" w:line="252" w:lineRule="auto"/>
              <w:jc w:val="center"/>
              <w:rPr>
                <w:rFonts w:ascii="Calibri" w:eastAsia="Times New Roman" w:hAnsi="Calibri" w:cs="Calibri"/>
                <w:b/>
                <w:bCs/>
                <w:color w:val="666666"/>
                <w:sz w:val="20"/>
                <w:szCs w:val="20"/>
              </w:rPr>
            </w:pPr>
            <w:r w:rsidRPr="005B7E0A">
              <w:rPr>
                <w:rFonts w:ascii="Calibri" w:eastAsia="Times New Roman" w:hAnsi="Calibri" w:cs="Calibri"/>
                <w:b/>
                <w:bCs/>
                <w:color w:val="666666"/>
                <w:sz w:val="20"/>
                <w:szCs w:val="20"/>
              </w:rPr>
              <w:t>RN- Regular</w:t>
            </w:r>
          </w:p>
        </w:tc>
        <w:tc>
          <w:tcPr>
            <w:tcW w:w="1445" w:type="dxa"/>
            <w:tcBorders>
              <w:top w:val="nil"/>
              <w:left w:val="single" w:sz="8" w:space="0" w:color="auto"/>
              <w:bottom w:val="single" w:sz="12" w:space="0" w:color="auto"/>
              <w:right w:val="single" w:sz="8" w:space="0" w:color="auto"/>
            </w:tcBorders>
            <w:shd w:val="clear" w:color="auto" w:fill="D9D9D9"/>
            <w:noWrap/>
            <w:tcMar>
              <w:top w:w="0" w:type="dxa"/>
              <w:left w:w="108" w:type="dxa"/>
              <w:bottom w:w="0" w:type="dxa"/>
              <w:right w:w="108" w:type="dxa"/>
            </w:tcMar>
            <w:vAlign w:val="bottom"/>
            <w:hideMark/>
          </w:tcPr>
          <w:p w:rsidR="005B7E0A" w:rsidRPr="005B7E0A" w:rsidRDefault="005B7E0A" w:rsidP="005B7E0A">
            <w:pPr>
              <w:spacing w:after="0" w:line="252" w:lineRule="auto"/>
              <w:jc w:val="center"/>
              <w:rPr>
                <w:rFonts w:ascii="Calibri" w:eastAsia="Times New Roman" w:hAnsi="Calibri" w:cs="Calibri"/>
                <w:b/>
                <w:bCs/>
                <w:color w:val="666666"/>
                <w:sz w:val="20"/>
                <w:szCs w:val="20"/>
              </w:rPr>
            </w:pPr>
            <w:r w:rsidRPr="005B7E0A">
              <w:rPr>
                <w:rFonts w:ascii="Calibri" w:eastAsia="Times New Roman" w:hAnsi="Calibri" w:cs="Calibri"/>
                <w:b/>
                <w:bCs/>
                <w:color w:val="666666"/>
                <w:sz w:val="20"/>
                <w:szCs w:val="20"/>
              </w:rPr>
              <w:t>Grand Total</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666666"/>
                <w:sz w:val="20"/>
                <w:szCs w:val="20"/>
              </w:rPr>
            </w:pPr>
          </w:p>
        </w:tc>
      </w:tr>
      <w:tr w:rsidR="005B7E0A" w:rsidRPr="005B7E0A" w:rsidTr="005B7E0A">
        <w:trPr>
          <w:trHeight w:val="255"/>
        </w:trPr>
        <w:tc>
          <w:tcPr>
            <w:tcW w:w="1124" w:type="dxa"/>
            <w:vMerge w:val="restart"/>
            <w:tcBorders>
              <w:top w:val="nil"/>
              <w:left w:val="single" w:sz="12" w:space="0" w:color="auto"/>
              <w:bottom w:val="single" w:sz="12" w:space="0" w:color="auto"/>
              <w:right w:val="single" w:sz="8" w:space="0" w:color="auto"/>
            </w:tcBorders>
            <w:noWrap/>
            <w:tcMar>
              <w:top w:w="0" w:type="dxa"/>
              <w:left w:w="108" w:type="dxa"/>
              <w:bottom w:w="0" w:type="dxa"/>
              <w:right w:w="108" w:type="dxa"/>
            </w:tcMar>
            <w:hideMark/>
          </w:tcPr>
          <w:p w:rsidR="005B7E0A" w:rsidRPr="005B7E0A" w:rsidRDefault="005B7E0A" w:rsidP="005B7E0A">
            <w:pPr>
              <w:spacing w:after="0" w:line="252" w:lineRule="auto"/>
              <w:rPr>
                <w:rFonts w:ascii="Calibri" w:eastAsia="Times New Roman" w:hAnsi="Calibri" w:cs="Calibri"/>
                <w:b/>
                <w:bCs/>
                <w:color w:val="595959"/>
              </w:rPr>
            </w:pPr>
            <w:r w:rsidRPr="005B7E0A">
              <w:rPr>
                <w:rFonts w:ascii="Calibri" w:eastAsia="Times New Roman" w:hAnsi="Calibri" w:cs="Calibri"/>
                <w:b/>
                <w:bCs/>
                <w:color w:val="595959"/>
              </w:rPr>
              <w:t>2014</w:t>
            </w: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Paid Recipients</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525</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279</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568</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374</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978</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Units Authorized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5,648,927</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2,061,795</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8,004,216</w:t>
            </w:r>
          </w:p>
        </w:tc>
        <w:tc>
          <w:tcPr>
            <w:tcW w:w="13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1,848,863</w:t>
            </w:r>
          </w:p>
        </w:tc>
        <w:tc>
          <w:tcPr>
            <w:tcW w:w="1445" w:type="dxa"/>
            <w:tcBorders>
              <w:top w:val="nil"/>
              <w:left w:val="single" w:sz="8" w:space="0" w:color="auto"/>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17,563,802</w:t>
            </w:r>
          </w:p>
        </w:tc>
        <w:tc>
          <w:tcPr>
            <w:tcW w:w="6" w:type="dxa"/>
            <w:vAlign w:val="center"/>
            <w:hideMark/>
          </w:tcPr>
          <w:p w:rsidR="005B7E0A" w:rsidRPr="005B7E0A" w:rsidRDefault="005B7E0A" w:rsidP="005B7E0A">
            <w:pPr>
              <w:spacing w:after="0" w:line="240" w:lineRule="auto"/>
              <w:rPr>
                <w:rFonts w:ascii="Calibri" w:eastAsia="Times New Roman" w:hAnsi="Calibri" w:cs="Calibri"/>
                <w:color w:val="333333"/>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Units Paid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4,246,149</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1,399,697</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6,253,552</w:t>
            </w:r>
          </w:p>
        </w:tc>
        <w:tc>
          <w:tcPr>
            <w:tcW w:w="13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1,261,267</w:t>
            </w:r>
          </w:p>
        </w:tc>
        <w:tc>
          <w:tcPr>
            <w:tcW w:w="1445" w:type="dxa"/>
            <w:tcBorders>
              <w:top w:val="nil"/>
              <w:left w:val="single" w:sz="8" w:space="0" w:color="auto"/>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13,160,665</w:t>
            </w:r>
          </w:p>
        </w:tc>
        <w:tc>
          <w:tcPr>
            <w:tcW w:w="6" w:type="dxa"/>
            <w:vAlign w:val="center"/>
            <w:hideMark/>
          </w:tcPr>
          <w:p w:rsidR="005B7E0A" w:rsidRPr="005B7E0A" w:rsidRDefault="005B7E0A" w:rsidP="005B7E0A">
            <w:pPr>
              <w:spacing w:after="0" w:line="240" w:lineRule="auto"/>
              <w:rPr>
                <w:rFonts w:ascii="Calibri" w:eastAsia="Times New Roman" w:hAnsi="Calibri" w:cs="Calibri"/>
                <w:color w:val="333333"/>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 Units Paid**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75.2%</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67.9%</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78.1%</w:t>
            </w:r>
          </w:p>
        </w:tc>
        <w:tc>
          <w:tcPr>
            <w:tcW w:w="13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68.2%</w:t>
            </w:r>
          </w:p>
        </w:tc>
        <w:tc>
          <w:tcPr>
            <w:tcW w:w="1445" w:type="dxa"/>
            <w:tcBorders>
              <w:top w:val="nil"/>
              <w:left w:val="single" w:sz="8" w:space="0" w:color="auto"/>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74.9%</w:t>
            </w:r>
          </w:p>
        </w:tc>
        <w:tc>
          <w:tcPr>
            <w:tcW w:w="6" w:type="dxa"/>
            <w:vAlign w:val="center"/>
            <w:hideMark/>
          </w:tcPr>
          <w:p w:rsidR="005B7E0A" w:rsidRPr="005B7E0A" w:rsidRDefault="005B7E0A" w:rsidP="005B7E0A">
            <w:pPr>
              <w:spacing w:after="0" w:line="240" w:lineRule="auto"/>
              <w:rPr>
                <w:rFonts w:ascii="Calibri" w:eastAsia="Times New Roman" w:hAnsi="Calibri" w:cs="Calibri"/>
                <w:color w:val="333333"/>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Amount Authorized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$41,192,861</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$12,524,626</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$77,722,034</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$14,681,559</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$146,121,080</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Amount Paid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$30,931,878</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$8,568,157</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$60,580,500</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$10,026,507</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$110,107,042</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68"/>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 Paid**</w:t>
            </w:r>
          </w:p>
        </w:tc>
        <w:tc>
          <w:tcPr>
            <w:tcW w:w="1477"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75.1%</w:t>
            </w:r>
          </w:p>
        </w:tc>
        <w:tc>
          <w:tcPr>
            <w:tcW w:w="1363"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68.4%</w:t>
            </w:r>
          </w:p>
        </w:tc>
        <w:tc>
          <w:tcPr>
            <w:tcW w:w="1378"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77.9%</w:t>
            </w:r>
          </w:p>
        </w:tc>
        <w:tc>
          <w:tcPr>
            <w:tcW w:w="1333"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68.3%</w:t>
            </w:r>
          </w:p>
        </w:tc>
        <w:tc>
          <w:tcPr>
            <w:tcW w:w="1445" w:type="dxa"/>
            <w:tcBorders>
              <w:top w:val="nil"/>
              <w:left w:val="nil"/>
              <w:bottom w:val="single" w:sz="12"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75.4%</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1124" w:type="dxa"/>
            <w:vMerge w:val="restart"/>
            <w:tcBorders>
              <w:top w:val="nil"/>
              <w:left w:val="single" w:sz="12" w:space="0" w:color="auto"/>
              <w:bottom w:val="single" w:sz="12" w:space="0" w:color="auto"/>
              <w:right w:val="single" w:sz="8" w:space="0" w:color="auto"/>
            </w:tcBorders>
            <w:noWrap/>
            <w:tcMar>
              <w:top w:w="0" w:type="dxa"/>
              <w:left w:w="108" w:type="dxa"/>
              <w:bottom w:w="0" w:type="dxa"/>
              <w:right w:w="108" w:type="dxa"/>
            </w:tcMar>
            <w:hideMark/>
          </w:tcPr>
          <w:p w:rsidR="005B7E0A" w:rsidRPr="005B7E0A" w:rsidRDefault="005B7E0A" w:rsidP="005B7E0A">
            <w:pPr>
              <w:spacing w:after="0" w:line="252" w:lineRule="auto"/>
              <w:rPr>
                <w:rFonts w:ascii="Calibri" w:eastAsia="Times New Roman" w:hAnsi="Calibri" w:cs="Calibri"/>
                <w:b/>
                <w:bCs/>
                <w:color w:val="595959"/>
              </w:rPr>
            </w:pPr>
            <w:r w:rsidRPr="005B7E0A">
              <w:rPr>
                <w:rFonts w:ascii="Calibri" w:eastAsia="Times New Roman" w:hAnsi="Calibri" w:cs="Calibri"/>
                <w:b/>
                <w:bCs/>
                <w:color w:val="595959"/>
              </w:rPr>
              <w:t>2015</w:t>
            </w: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Paid Recipients</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585</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223</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643</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325</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1,010</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Units Authorized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5,939,464</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1,894,697</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8,721,416</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1,737,183</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18,292,761</w:t>
            </w:r>
          </w:p>
        </w:tc>
        <w:tc>
          <w:tcPr>
            <w:tcW w:w="6" w:type="dxa"/>
            <w:vAlign w:val="center"/>
            <w:hideMark/>
          </w:tcPr>
          <w:p w:rsidR="005B7E0A" w:rsidRPr="005B7E0A" w:rsidRDefault="005B7E0A" w:rsidP="005B7E0A">
            <w:pPr>
              <w:spacing w:after="0" w:line="240" w:lineRule="auto"/>
              <w:rPr>
                <w:rFonts w:ascii="Calibri" w:eastAsia="Times New Roman" w:hAnsi="Calibri" w:cs="Calibri"/>
                <w:color w:val="333333"/>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Units Paid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4,533,332</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1,233,417</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6,655,327</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1,186,384</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13,608,460</w:t>
            </w:r>
          </w:p>
        </w:tc>
        <w:tc>
          <w:tcPr>
            <w:tcW w:w="6" w:type="dxa"/>
            <w:vAlign w:val="center"/>
            <w:hideMark/>
          </w:tcPr>
          <w:p w:rsidR="005B7E0A" w:rsidRPr="005B7E0A" w:rsidRDefault="005B7E0A" w:rsidP="005B7E0A">
            <w:pPr>
              <w:spacing w:after="0" w:line="240" w:lineRule="auto"/>
              <w:rPr>
                <w:rFonts w:ascii="Calibri" w:eastAsia="Times New Roman" w:hAnsi="Calibri" w:cs="Calibri"/>
                <w:color w:val="333333"/>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 Units Paid**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76.3%</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65.1%</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76.3%</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68.3%</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74.4%</w:t>
            </w:r>
          </w:p>
        </w:tc>
        <w:tc>
          <w:tcPr>
            <w:tcW w:w="6" w:type="dxa"/>
            <w:vAlign w:val="center"/>
            <w:hideMark/>
          </w:tcPr>
          <w:p w:rsidR="005B7E0A" w:rsidRPr="005B7E0A" w:rsidRDefault="005B7E0A" w:rsidP="005B7E0A">
            <w:pPr>
              <w:spacing w:after="0" w:line="240" w:lineRule="auto"/>
              <w:rPr>
                <w:rFonts w:ascii="Calibri" w:eastAsia="Times New Roman" w:hAnsi="Calibri" w:cs="Calibri"/>
                <w:color w:val="333333"/>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Amount Authorized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$45,174,256</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$12,025,597</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$88,076,086</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$14,304,626</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$159,580,564</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Amount Paid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$34,945,473</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$7,902,862</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$68,106,035</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$9,907,961</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$120,862,331</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68"/>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 Paid**</w:t>
            </w:r>
          </w:p>
        </w:tc>
        <w:tc>
          <w:tcPr>
            <w:tcW w:w="1477"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77.4%</w:t>
            </w:r>
          </w:p>
        </w:tc>
        <w:tc>
          <w:tcPr>
            <w:tcW w:w="1363"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65.7%</w:t>
            </w:r>
          </w:p>
        </w:tc>
        <w:tc>
          <w:tcPr>
            <w:tcW w:w="1378"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77.3%</w:t>
            </w:r>
          </w:p>
        </w:tc>
        <w:tc>
          <w:tcPr>
            <w:tcW w:w="1333"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69.3%</w:t>
            </w:r>
          </w:p>
        </w:tc>
        <w:tc>
          <w:tcPr>
            <w:tcW w:w="1445" w:type="dxa"/>
            <w:tcBorders>
              <w:top w:val="nil"/>
              <w:left w:val="nil"/>
              <w:bottom w:val="single" w:sz="12"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75.7%</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1124" w:type="dxa"/>
            <w:vMerge w:val="restart"/>
            <w:tcBorders>
              <w:top w:val="nil"/>
              <w:left w:val="single" w:sz="12" w:space="0" w:color="auto"/>
              <w:bottom w:val="single" w:sz="12" w:space="0" w:color="auto"/>
              <w:right w:val="single" w:sz="8" w:space="0" w:color="auto"/>
            </w:tcBorders>
            <w:noWrap/>
            <w:tcMar>
              <w:top w:w="0" w:type="dxa"/>
              <w:left w:w="108" w:type="dxa"/>
              <w:bottom w:w="0" w:type="dxa"/>
              <w:right w:w="108" w:type="dxa"/>
            </w:tcMar>
            <w:hideMark/>
          </w:tcPr>
          <w:p w:rsidR="005B7E0A" w:rsidRPr="005B7E0A" w:rsidRDefault="005B7E0A" w:rsidP="005B7E0A">
            <w:pPr>
              <w:spacing w:after="0" w:line="252" w:lineRule="auto"/>
              <w:rPr>
                <w:rFonts w:ascii="Calibri" w:eastAsia="Times New Roman" w:hAnsi="Calibri" w:cs="Calibri"/>
                <w:b/>
                <w:bCs/>
                <w:color w:val="595959"/>
              </w:rPr>
            </w:pPr>
            <w:r w:rsidRPr="005B7E0A">
              <w:rPr>
                <w:rFonts w:ascii="Calibri" w:eastAsia="Times New Roman" w:hAnsi="Calibri" w:cs="Calibri"/>
                <w:b/>
                <w:bCs/>
                <w:color w:val="595959"/>
              </w:rPr>
              <w:t>2016</w:t>
            </w: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Paid Recipients</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613</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217</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684</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323</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1,042</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Units Authorized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$6,292,650</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$1,598,213</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$9,316,762</w:t>
            </w:r>
          </w:p>
        </w:tc>
        <w:tc>
          <w:tcPr>
            <w:tcW w:w="13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$1,781,285</w:t>
            </w:r>
          </w:p>
        </w:tc>
        <w:tc>
          <w:tcPr>
            <w:tcW w:w="1445" w:type="dxa"/>
            <w:tcBorders>
              <w:top w:val="nil"/>
              <w:left w:val="single" w:sz="8" w:space="0" w:color="auto"/>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$18,988,909</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Units Paid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$4,803,990</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$1,062,163</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$6,826,573</w:t>
            </w:r>
          </w:p>
        </w:tc>
        <w:tc>
          <w:tcPr>
            <w:tcW w:w="13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$1,169,307</w:t>
            </w:r>
          </w:p>
        </w:tc>
        <w:tc>
          <w:tcPr>
            <w:tcW w:w="1445" w:type="dxa"/>
            <w:tcBorders>
              <w:top w:val="nil"/>
              <w:left w:val="single" w:sz="8" w:space="0" w:color="auto"/>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$13,862,033</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 Units Paid**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76.3%</w:t>
            </w:r>
          </w:p>
        </w:tc>
        <w:tc>
          <w:tcPr>
            <w:tcW w:w="1363" w:type="dxa"/>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66.5%</w:t>
            </w:r>
          </w:p>
        </w:tc>
        <w:tc>
          <w:tcPr>
            <w:tcW w:w="1378" w:type="dxa"/>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73.3%</w:t>
            </w:r>
          </w:p>
        </w:tc>
        <w:tc>
          <w:tcPr>
            <w:tcW w:w="1333" w:type="dxa"/>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333333"/>
                <w:sz w:val="20"/>
                <w:szCs w:val="20"/>
              </w:rPr>
            </w:pPr>
            <w:r w:rsidRPr="005B7E0A">
              <w:rPr>
                <w:rFonts w:ascii="Calibri" w:eastAsia="Times New Roman" w:hAnsi="Calibri" w:cs="Calibri"/>
                <w:color w:val="333333"/>
                <w:sz w:val="20"/>
                <w:szCs w:val="20"/>
              </w:rPr>
              <w:t>65.6%</w:t>
            </w:r>
          </w:p>
        </w:tc>
        <w:tc>
          <w:tcPr>
            <w:tcW w:w="1445" w:type="dxa"/>
            <w:tcBorders>
              <w:top w:val="nil"/>
              <w:left w:val="single" w:sz="8" w:space="0" w:color="auto"/>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73.0%</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Amount Authorized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$48,857,977</w:t>
            </w:r>
          </w:p>
        </w:tc>
        <w:tc>
          <w:tcPr>
            <w:tcW w:w="1363"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$10,332,039</w:t>
            </w:r>
          </w:p>
        </w:tc>
        <w:tc>
          <w:tcPr>
            <w:tcW w:w="1378"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$95,906,574</w:t>
            </w:r>
          </w:p>
        </w:tc>
        <w:tc>
          <w:tcPr>
            <w:tcW w:w="13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$14,793,311</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$169,889,901</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55"/>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Amount Paid</w:t>
            </w:r>
          </w:p>
        </w:tc>
        <w:tc>
          <w:tcPr>
            <w:tcW w:w="1477"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$37,507,942</w:t>
            </w:r>
          </w:p>
        </w:tc>
        <w:tc>
          <w:tcPr>
            <w:tcW w:w="1363"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$6,778,030</w:t>
            </w:r>
          </w:p>
        </w:tc>
        <w:tc>
          <w:tcPr>
            <w:tcW w:w="1378" w:type="dxa"/>
            <w:tcBorders>
              <w:top w:val="nil"/>
              <w:left w:val="nil"/>
              <w:bottom w:val="single" w:sz="8"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$70,811,139</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$9,626,448</w:t>
            </w:r>
          </w:p>
        </w:tc>
        <w:tc>
          <w:tcPr>
            <w:tcW w:w="1445" w:type="dxa"/>
            <w:tcBorders>
              <w:top w:val="nil"/>
              <w:left w:val="nil"/>
              <w:bottom w:val="single" w:sz="8"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$124,723,559</w:t>
            </w:r>
          </w:p>
        </w:tc>
        <w:tc>
          <w:tcPr>
            <w:tcW w:w="6" w:type="dxa"/>
            <w:vAlign w:val="center"/>
            <w:hideMark/>
          </w:tcPr>
          <w:p w:rsidR="005B7E0A" w:rsidRPr="005B7E0A" w:rsidRDefault="005B7E0A" w:rsidP="005B7E0A">
            <w:pPr>
              <w:spacing w:after="0" w:line="240" w:lineRule="auto"/>
              <w:rPr>
                <w:rFonts w:ascii="Calibri" w:eastAsia="Times New Roman" w:hAnsi="Calibri" w:cs="Calibri"/>
                <w:b/>
                <w:bCs/>
                <w:color w:val="404040"/>
                <w:sz w:val="20"/>
                <w:szCs w:val="20"/>
              </w:rPr>
            </w:pPr>
          </w:p>
        </w:tc>
      </w:tr>
      <w:tr w:rsidR="005B7E0A" w:rsidRPr="005B7E0A" w:rsidTr="005B7E0A">
        <w:trPr>
          <w:trHeight w:val="268"/>
        </w:trPr>
        <w:tc>
          <w:tcPr>
            <w:tcW w:w="0" w:type="auto"/>
            <w:vMerge/>
            <w:tcBorders>
              <w:top w:val="nil"/>
              <w:left w:val="single" w:sz="12" w:space="0" w:color="auto"/>
              <w:bottom w:val="single" w:sz="12" w:space="0" w:color="auto"/>
              <w:right w:val="single" w:sz="8" w:space="0" w:color="auto"/>
            </w:tcBorders>
            <w:vAlign w:val="center"/>
            <w:hideMark/>
          </w:tcPr>
          <w:p w:rsidR="005B7E0A" w:rsidRPr="005B7E0A" w:rsidRDefault="005B7E0A" w:rsidP="005B7E0A">
            <w:pPr>
              <w:spacing w:after="0" w:line="240" w:lineRule="auto"/>
              <w:rPr>
                <w:rFonts w:ascii="Calibri" w:eastAsia="Times New Roman" w:hAnsi="Calibri" w:cs="Calibri"/>
                <w:b/>
                <w:bCs/>
                <w:color w:val="595959"/>
              </w:rPr>
            </w:pPr>
          </w:p>
        </w:tc>
        <w:tc>
          <w:tcPr>
            <w:tcW w:w="2033"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666666"/>
                <w:sz w:val="20"/>
                <w:szCs w:val="20"/>
              </w:rPr>
            </w:pPr>
            <w:r w:rsidRPr="005B7E0A">
              <w:rPr>
                <w:rFonts w:ascii="Calibri" w:eastAsia="Times New Roman" w:hAnsi="Calibri" w:cs="Calibri"/>
                <w:color w:val="666666"/>
                <w:sz w:val="20"/>
                <w:szCs w:val="20"/>
              </w:rPr>
              <w:t>% Paid**</w:t>
            </w:r>
          </w:p>
        </w:tc>
        <w:tc>
          <w:tcPr>
            <w:tcW w:w="1477"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76.8%</w:t>
            </w:r>
          </w:p>
        </w:tc>
        <w:tc>
          <w:tcPr>
            <w:tcW w:w="1363"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65.6%</w:t>
            </w:r>
          </w:p>
        </w:tc>
        <w:tc>
          <w:tcPr>
            <w:tcW w:w="1378" w:type="dxa"/>
            <w:tcBorders>
              <w:top w:val="nil"/>
              <w:left w:val="nil"/>
              <w:bottom w:val="single" w:sz="12" w:space="0" w:color="auto"/>
              <w:right w:val="nil"/>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73.8%</w:t>
            </w:r>
          </w:p>
        </w:tc>
        <w:tc>
          <w:tcPr>
            <w:tcW w:w="1333"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color w:val="404040"/>
                <w:sz w:val="20"/>
                <w:szCs w:val="20"/>
              </w:rPr>
            </w:pPr>
            <w:r w:rsidRPr="005B7E0A">
              <w:rPr>
                <w:rFonts w:ascii="Calibri" w:eastAsia="Times New Roman" w:hAnsi="Calibri" w:cs="Calibri"/>
                <w:color w:val="404040"/>
                <w:sz w:val="20"/>
                <w:szCs w:val="20"/>
              </w:rPr>
              <w:t>65.1%</w:t>
            </w:r>
          </w:p>
        </w:tc>
        <w:tc>
          <w:tcPr>
            <w:tcW w:w="1445" w:type="dxa"/>
            <w:tcBorders>
              <w:top w:val="nil"/>
              <w:left w:val="nil"/>
              <w:bottom w:val="single" w:sz="12" w:space="0" w:color="auto"/>
              <w:right w:val="single" w:sz="12" w:space="0" w:color="auto"/>
            </w:tcBorders>
            <w:shd w:val="clear" w:color="auto" w:fill="D9D9D9"/>
            <w:noWrap/>
            <w:tcMar>
              <w:top w:w="0" w:type="dxa"/>
              <w:left w:w="108" w:type="dxa"/>
              <w:bottom w:w="0" w:type="dxa"/>
              <w:right w:w="108" w:type="dxa"/>
            </w:tcMar>
            <w:vAlign w:val="center"/>
            <w:hideMark/>
          </w:tcPr>
          <w:p w:rsidR="005B7E0A" w:rsidRPr="005B7E0A" w:rsidRDefault="005B7E0A" w:rsidP="005B7E0A">
            <w:pPr>
              <w:spacing w:after="0" w:line="252" w:lineRule="auto"/>
              <w:jc w:val="right"/>
              <w:rPr>
                <w:rFonts w:ascii="Calibri" w:eastAsia="Times New Roman" w:hAnsi="Calibri" w:cs="Calibri"/>
                <w:b/>
                <w:bCs/>
                <w:color w:val="404040"/>
                <w:sz w:val="20"/>
                <w:szCs w:val="20"/>
              </w:rPr>
            </w:pPr>
            <w:r w:rsidRPr="005B7E0A">
              <w:rPr>
                <w:rFonts w:ascii="Calibri" w:eastAsia="Times New Roman" w:hAnsi="Calibri" w:cs="Calibri"/>
                <w:b/>
                <w:bCs/>
                <w:color w:val="404040"/>
                <w:sz w:val="20"/>
                <w:szCs w:val="20"/>
              </w:rPr>
              <w:t>73.4%</w:t>
            </w:r>
          </w:p>
        </w:tc>
        <w:tc>
          <w:tcPr>
            <w:tcW w:w="0" w:type="auto"/>
            <w:vAlign w:val="center"/>
            <w:hideMark/>
          </w:tcPr>
          <w:p w:rsidR="005B7E0A" w:rsidRPr="005B7E0A" w:rsidRDefault="005B7E0A" w:rsidP="005B7E0A">
            <w:pPr>
              <w:spacing w:after="0" w:line="240" w:lineRule="auto"/>
              <w:rPr>
                <w:rFonts w:ascii="Times New Roman" w:eastAsia="Times New Roman" w:hAnsi="Times New Roman" w:cs="Times New Roman"/>
                <w:sz w:val="20"/>
                <w:szCs w:val="20"/>
              </w:rPr>
            </w:pPr>
          </w:p>
        </w:tc>
      </w:tr>
    </w:tbl>
    <w:p w:rsidR="009A3A55" w:rsidRDefault="009A3A55"/>
    <w:sectPr w:rsidR="009A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0A"/>
    <w:rsid w:val="005B7E0A"/>
    <w:rsid w:val="007131E7"/>
    <w:rsid w:val="009A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9C9D5-A57A-4B27-A0CC-BA325F65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937">
      <w:bodyDiv w:val="1"/>
      <w:marLeft w:val="240"/>
      <w:marRight w:val="240"/>
      <w:marTop w:val="24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dcterms:created xsi:type="dcterms:W3CDTF">2018-01-03T17:45:00Z</dcterms:created>
  <dcterms:modified xsi:type="dcterms:W3CDTF">2018-01-03T17:45:00Z</dcterms:modified>
</cp:coreProperties>
</file>