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F2" w:rsidRPr="001E134F" w:rsidRDefault="005631F2" w:rsidP="005631F2">
      <w:pPr>
        <w:pStyle w:val="Addressblock"/>
        <w:spacing w:line="240" w:lineRule="auto"/>
      </w:pPr>
      <w:bookmarkStart w:id="0" w:name="_GoBack"/>
      <w:bookmarkEnd w:id="0"/>
      <w:r>
        <w:rPr>
          <w:noProof/>
        </w:rPr>
        <w:drawing>
          <wp:anchor distT="0" distB="0" distL="114300" distR="114300" simplePos="0" relativeHeight="251659264" behindDoc="0" locked="0" layoutInCell="1" allowOverlap="1" wp14:anchorId="4C809A43" wp14:editId="7CAADBB8">
            <wp:simplePos x="0" y="0"/>
            <wp:positionH relativeFrom="column">
              <wp:posOffset>-19050</wp:posOffset>
            </wp:positionH>
            <wp:positionV relativeFrom="paragraph">
              <wp:posOffset>38100</wp:posOffset>
            </wp:positionV>
            <wp:extent cx="1069340" cy="667385"/>
            <wp:effectExtent l="0" t="0" r="0" b="0"/>
            <wp:wrapSquare wrapText="bothSides"/>
            <wp:docPr id="6" name="Picture 6" descr="Minnesota Department of Health logo" title="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340" cy="667385"/>
                    </a:xfrm>
                    <a:prstGeom prst="rect">
                      <a:avLst/>
                    </a:prstGeom>
                  </pic:spPr>
                </pic:pic>
              </a:graphicData>
            </a:graphic>
            <wp14:sizeRelH relativeFrom="page">
              <wp14:pctWidth>0</wp14:pctWidth>
            </wp14:sizeRelH>
            <wp14:sizeRelV relativeFrom="page">
              <wp14:pctHeight>0</wp14:pctHeight>
            </wp14:sizeRelV>
          </wp:anchor>
        </w:drawing>
      </w:r>
      <w:r>
        <w:t>Office of Rural Health and Primary Care</w:t>
      </w:r>
    </w:p>
    <w:p w:rsidR="005631F2" w:rsidRPr="001E134F" w:rsidRDefault="005631F2" w:rsidP="005631F2">
      <w:pPr>
        <w:pStyle w:val="Addressblock"/>
        <w:spacing w:line="240" w:lineRule="auto"/>
      </w:pPr>
      <w:r>
        <w:t>P.O. Box 64882</w:t>
      </w:r>
    </w:p>
    <w:p w:rsidR="005631F2" w:rsidRPr="001E134F" w:rsidRDefault="005631F2" w:rsidP="005631F2">
      <w:pPr>
        <w:pStyle w:val="Addressblock"/>
        <w:spacing w:line="240" w:lineRule="auto"/>
      </w:pPr>
      <w:r>
        <w:t>St. Paul, MN 55164-0882</w:t>
      </w:r>
    </w:p>
    <w:p w:rsidR="005631F2" w:rsidRDefault="005631F2" w:rsidP="005631F2">
      <w:pPr>
        <w:pStyle w:val="Addressblock"/>
        <w:spacing w:line="240" w:lineRule="auto"/>
      </w:pPr>
      <w:r w:rsidRPr="001E134F">
        <w:t>651-</w:t>
      </w:r>
      <w:r>
        <w:t>201-3838</w:t>
      </w:r>
    </w:p>
    <w:p w:rsidR="005631F2" w:rsidRDefault="005631F2" w:rsidP="005631F2">
      <w:pPr>
        <w:pStyle w:val="Addressblock"/>
        <w:spacing w:line="240" w:lineRule="auto"/>
      </w:pPr>
      <w:r>
        <w:t>www.health.state.mn.us/orhpc</w:t>
      </w:r>
    </w:p>
    <w:p w:rsidR="005631F2" w:rsidRPr="004722A9" w:rsidRDefault="005631F2" w:rsidP="005631F2">
      <w:pPr>
        <w:pStyle w:val="Addressblock"/>
        <w:rPr>
          <w:sz w:val="4"/>
          <w:szCs w:val="4"/>
        </w:rPr>
      </w:pPr>
    </w:p>
    <w:p w:rsidR="005631F2" w:rsidRPr="00C43273" w:rsidRDefault="005631F2" w:rsidP="005631F2">
      <w:pPr>
        <w:pStyle w:val="Addressblock"/>
        <w:spacing w:line="240" w:lineRule="auto"/>
        <w:rPr>
          <w:sz w:val="4"/>
          <w:szCs w:val="4"/>
        </w:rPr>
      </w:pPr>
    </w:p>
    <w:p w:rsidR="005631F2" w:rsidRDefault="005631F2" w:rsidP="005631F2">
      <w:pPr>
        <w:ind w:right="288"/>
      </w:pPr>
    </w:p>
    <w:p w:rsidR="002E23D3" w:rsidRDefault="002E23D3" w:rsidP="005631F2">
      <w:pPr>
        <w:pStyle w:val="Heading1"/>
        <w:sectPr w:rsidR="002E23D3" w:rsidSect="00EE2F3E">
          <w:footerReference w:type="default" r:id="rId9"/>
          <w:pgSz w:w="12240" w:h="15840"/>
          <w:pgMar w:top="720" w:right="720" w:bottom="720" w:left="720" w:header="720" w:footer="720" w:gutter="0"/>
          <w:cols w:space="720"/>
          <w:docGrid w:linePitch="360"/>
        </w:sectPr>
      </w:pPr>
    </w:p>
    <w:p w:rsidR="005631F2" w:rsidRPr="001E134F" w:rsidRDefault="002304FF" w:rsidP="005631F2">
      <w:pPr>
        <w:pStyle w:val="Heading1"/>
      </w:pPr>
      <w:r>
        <w:lastRenderedPageBreak/>
        <w:t>Loan Forgiveness Program</w:t>
      </w:r>
    </w:p>
    <w:p w:rsidR="005631F2" w:rsidRPr="00237E60" w:rsidRDefault="005631F2" w:rsidP="005631F2"/>
    <w:p w:rsidR="005631F2" w:rsidRDefault="005631F2" w:rsidP="005631F2">
      <w:pPr>
        <w:sectPr w:rsidR="005631F2" w:rsidSect="002E23D3">
          <w:type w:val="continuous"/>
          <w:pgSz w:w="12240" w:h="15840"/>
          <w:pgMar w:top="720" w:right="720" w:bottom="720" w:left="720" w:header="720" w:footer="720" w:gutter="0"/>
          <w:cols w:space="720"/>
          <w:docGrid w:linePitch="360"/>
        </w:sectPr>
      </w:pPr>
    </w:p>
    <w:p w:rsidR="005631F2" w:rsidRDefault="005631F2" w:rsidP="005631F2">
      <w:pPr>
        <w:pStyle w:val="Heading2"/>
      </w:pPr>
      <w:r>
        <w:lastRenderedPageBreak/>
        <w:t>Loan Forgiveness Program</w:t>
      </w:r>
    </w:p>
    <w:p w:rsidR="000B3000" w:rsidRDefault="005631F2" w:rsidP="005631F2">
      <w:r>
        <w:t>Minnesota’s Loan Forgiveness program has been evaluated twice in recent years, once in 1999 and again in 2007.  Both evaluations describe an effective program that meets its goals of recruiting providers to underserved areas, and that</w:t>
      </w:r>
      <w:r w:rsidR="006B559E">
        <w:t xml:space="preserve"> is an</w:t>
      </w:r>
      <w:r w:rsidR="00240A74">
        <w:t xml:space="preserve"> influential factor in</w:t>
      </w:r>
      <w:r>
        <w:t xml:space="preserve"> recipients</w:t>
      </w:r>
      <w:r w:rsidR="00240A74">
        <w:t>’ decision of where</w:t>
      </w:r>
      <w:r>
        <w:t xml:space="preserve"> to practice after graduation.</w:t>
      </w:r>
    </w:p>
    <w:p w:rsidR="00240A74" w:rsidRDefault="000B3000" w:rsidP="00240A74">
      <w:r>
        <w:t xml:space="preserve">Most participants reported loan forgiveness was important to very important in influencing their decision to practice in a rural </w:t>
      </w:r>
      <w:r w:rsidR="00B853F9">
        <w:t>or underserved area.</w:t>
      </w:r>
      <w:r w:rsidR="002F66AB">
        <w:rPr>
          <w:rStyle w:val="FootnoteReference"/>
        </w:rPr>
        <w:footnoteReference w:id="1"/>
      </w:r>
      <w:r w:rsidR="002F66AB">
        <w:t xml:space="preserve"> </w:t>
      </w:r>
    </w:p>
    <w:p w:rsidR="00240A74" w:rsidRDefault="00240A74" w:rsidP="00240A74"/>
    <w:p w:rsidR="008D48BD" w:rsidRPr="00B853F9" w:rsidRDefault="002F66AB" w:rsidP="00240A74">
      <w:r>
        <w:t>S</w:t>
      </w:r>
      <w:r w:rsidR="00240A74">
        <w:t>tate</w:t>
      </w:r>
      <w:r w:rsidR="00B853F9">
        <w:t xml:space="preserve"> loan forgiveness programs</w:t>
      </w:r>
      <w:r w:rsidR="00946493" w:rsidRPr="00B853F9">
        <w:t>,</w:t>
      </w:r>
      <w:r>
        <w:t xml:space="preserve"> with</w:t>
      </w:r>
      <w:r w:rsidR="00946493" w:rsidRPr="00B853F9">
        <w:t xml:space="preserve"> budgets from $90K - $35 million</w:t>
      </w:r>
      <w:r>
        <w:t>,</w:t>
      </w:r>
      <w:r w:rsidR="00946493" w:rsidRPr="00B853F9">
        <w:t xml:space="preserve"> </w:t>
      </w:r>
      <w:r w:rsidR="006A3886">
        <w:t>have</w:t>
      </w:r>
      <w:r>
        <w:t xml:space="preserve"> </w:t>
      </w:r>
      <w:r w:rsidR="00946493" w:rsidRPr="00B853F9">
        <w:t>26,000 participants</w:t>
      </w:r>
      <w:r w:rsidR="00B853F9">
        <w:t xml:space="preserve"> nationally</w:t>
      </w:r>
      <w:r>
        <w:t>.  According to a national study</w:t>
      </w:r>
      <w:r>
        <w:rPr>
          <w:rStyle w:val="FootnoteReference"/>
        </w:rPr>
        <w:footnoteReference w:id="2"/>
      </w:r>
      <w:r>
        <w:t xml:space="preserve">, </w:t>
      </w:r>
      <w:r w:rsidR="00946493" w:rsidRPr="00B853F9">
        <w:t>“</w:t>
      </w:r>
      <w:r>
        <w:t>s</w:t>
      </w:r>
      <w:r w:rsidR="00946493" w:rsidRPr="00B853F9">
        <w:t>tate</w:t>
      </w:r>
      <w:r>
        <w:t xml:space="preserve"> [Loan Forgiveness]</w:t>
      </w:r>
      <w:r w:rsidR="00946493" w:rsidRPr="00B853F9">
        <w:t xml:space="preserve"> programs bring physicians to needy communities where they find satisfying work and remain for many years</w:t>
      </w:r>
      <w:r w:rsidR="00240A74">
        <w:t>,</w:t>
      </w:r>
      <w:r w:rsidR="00946493" w:rsidRPr="00B853F9">
        <w:t>”</w:t>
      </w:r>
      <w:r w:rsidR="00240A74">
        <w:t xml:space="preserve"> and retention outcomes for loan forgiveness are better than other incentives such as scholarships or stipends.  </w:t>
      </w:r>
    </w:p>
    <w:p w:rsidR="00B853F9" w:rsidRPr="00B853F9" w:rsidRDefault="00B853F9" w:rsidP="00240A74"/>
    <w:p w:rsidR="006B559E" w:rsidRDefault="008E3E0B" w:rsidP="006B559E">
      <w:pPr>
        <w:pStyle w:val="Heading2"/>
      </w:pPr>
      <w:r>
        <w:t>Recipient Data</w:t>
      </w:r>
    </w:p>
    <w:p w:rsidR="006B559E" w:rsidRDefault="008E3E0B" w:rsidP="005631F2">
      <w:r>
        <w:t xml:space="preserve">Minnesota’s Loan Forgiveness program dates back to 1992, and has changed over the years to include new provider types, and various levels of funding.  Here is ten </w:t>
      </w:r>
      <w:r w:rsidR="00D35096">
        <w:t xml:space="preserve">fiscal </w:t>
      </w:r>
      <w:r>
        <w:t xml:space="preserve">years of data outlining the </w:t>
      </w:r>
      <w:r w:rsidR="006126B4">
        <w:t>funding by source, and the</w:t>
      </w:r>
      <w:r>
        <w:t xml:space="preserve"> number of </w:t>
      </w:r>
      <w:r w:rsidR="006126B4">
        <w:t>new awards</w:t>
      </w:r>
      <w:r>
        <w:t>:</w:t>
      </w:r>
    </w:p>
    <w:p w:rsidR="006126B4" w:rsidRDefault="006126B4" w:rsidP="005631F2"/>
    <w:tbl>
      <w:tblPr>
        <w:tblStyle w:val="TableGrid"/>
        <w:tblW w:w="0" w:type="auto"/>
        <w:tblLook w:val="04A0" w:firstRow="1" w:lastRow="0" w:firstColumn="1" w:lastColumn="0" w:noHBand="0" w:noVBand="1"/>
      </w:tblPr>
      <w:tblGrid>
        <w:gridCol w:w="2658"/>
        <w:gridCol w:w="874"/>
        <w:gridCol w:w="874"/>
        <w:gridCol w:w="798"/>
        <w:gridCol w:w="798"/>
        <w:gridCol w:w="798"/>
        <w:gridCol w:w="798"/>
        <w:gridCol w:w="798"/>
        <w:gridCol w:w="798"/>
        <w:gridCol w:w="798"/>
        <w:gridCol w:w="798"/>
      </w:tblGrid>
      <w:tr w:rsidR="006126B4" w:rsidRPr="009756DA" w:rsidTr="006126B4">
        <w:trPr>
          <w:trHeight w:val="298"/>
        </w:trPr>
        <w:tc>
          <w:tcPr>
            <w:tcW w:w="2685" w:type="dxa"/>
            <w:noWrap/>
            <w:hideMark/>
          </w:tcPr>
          <w:p w:rsidR="006126B4" w:rsidRPr="009756DA" w:rsidRDefault="006126B4" w:rsidP="00AC20E2"/>
        </w:tc>
        <w:tc>
          <w:tcPr>
            <w:tcW w:w="881" w:type="dxa"/>
            <w:noWrap/>
            <w:hideMark/>
          </w:tcPr>
          <w:p w:rsidR="006126B4" w:rsidRPr="009756DA" w:rsidRDefault="006126B4" w:rsidP="00AC20E2">
            <w:pPr>
              <w:rPr>
                <w:b/>
                <w:bCs/>
              </w:rPr>
            </w:pPr>
            <w:r w:rsidRPr="009756DA">
              <w:rPr>
                <w:b/>
                <w:bCs/>
              </w:rPr>
              <w:t>2015</w:t>
            </w:r>
          </w:p>
        </w:tc>
        <w:tc>
          <w:tcPr>
            <w:tcW w:w="881" w:type="dxa"/>
            <w:noWrap/>
            <w:hideMark/>
          </w:tcPr>
          <w:p w:rsidR="006126B4" w:rsidRPr="009756DA" w:rsidRDefault="006126B4" w:rsidP="00AC20E2">
            <w:pPr>
              <w:rPr>
                <w:b/>
                <w:bCs/>
              </w:rPr>
            </w:pPr>
            <w:r w:rsidRPr="009756DA">
              <w:rPr>
                <w:b/>
                <w:bCs/>
              </w:rPr>
              <w:t>2014</w:t>
            </w:r>
          </w:p>
        </w:tc>
        <w:tc>
          <w:tcPr>
            <w:tcW w:w="805" w:type="dxa"/>
            <w:noWrap/>
            <w:hideMark/>
          </w:tcPr>
          <w:p w:rsidR="006126B4" w:rsidRPr="009756DA" w:rsidRDefault="006126B4" w:rsidP="00AC20E2">
            <w:pPr>
              <w:rPr>
                <w:b/>
                <w:bCs/>
              </w:rPr>
            </w:pPr>
            <w:r w:rsidRPr="009756DA">
              <w:rPr>
                <w:b/>
                <w:bCs/>
              </w:rPr>
              <w:t>2013</w:t>
            </w:r>
          </w:p>
        </w:tc>
        <w:tc>
          <w:tcPr>
            <w:tcW w:w="805" w:type="dxa"/>
            <w:noWrap/>
            <w:hideMark/>
          </w:tcPr>
          <w:p w:rsidR="006126B4" w:rsidRPr="009756DA" w:rsidRDefault="006126B4" w:rsidP="00AC20E2">
            <w:pPr>
              <w:rPr>
                <w:b/>
                <w:bCs/>
              </w:rPr>
            </w:pPr>
            <w:r w:rsidRPr="009756DA">
              <w:rPr>
                <w:b/>
                <w:bCs/>
              </w:rPr>
              <w:t>2012</w:t>
            </w:r>
          </w:p>
        </w:tc>
        <w:tc>
          <w:tcPr>
            <w:tcW w:w="805" w:type="dxa"/>
            <w:noWrap/>
            <w:hideMark/>
          </w:tcPr>
          <w:p w:rsidR="006126B4" w:rsidRPr="009756DA" w:rsidRDefault="006126B4" w:rsidP="00AC20E2">
            <w:pPr>
              <w:rPr>
                <w:b/>
                <w:bCs/>
              </w:rPr>
            </w:pPr>
            <w:r w:rsidRPr="009756DA">
              <w:rPr>
                <w:b/>
                <w:bCs/>
              </w:rPr>
              <w:t>2011</w:t>
            </w:r>
          </w:p>
        </w:tc>
        <w:tc>
          <w:tcPr>
            <w:tcW w:w="805" w:type="dxa"/>
            <w:noWrap/>
            <w:hideMark/>
          </w:tcPr>
          <w:p w:rsidR="006126B4" w:rsidRPr="009756DA" w:rsidRDefault="006126B4" w:rsidP="00AC20E2">
            <w:pPr>
              <w:rPr>
                <w:b/>
                <w:bCs/>
              </w:rPr>
            </w:pPr>
            <w:r w:rsidRPr="009756DA">
              <w:rPr>
                <w:b/>
                <w:bCs/>
              </w:rPr>
              <w:t>2010</w:t>
            </w:r>
          </w:p>
        </w:tc>
        <w:tc>
          <w:tcPr>
            <w:tcW w:w="805" w:type="dxa"/>
            <w:noWrap/>
            <w:hideMark/>
          </w:tcPr>
          <w:p w:rsidR="006126B4" w:rsidRPr="009756DA" w:rsidRDefault="006126B4" w:rsidP="00AC20E2">
            <w:pPr>
              <w:rPr>
                <w:b/>
                <w:bCs/>
              </w:rPr>
            </w:pPr>
            <w:r w:rsidRPr="009756DA">
              <w:rPr>
                <w:b/>
                <w:bCs/>
              </w:rPr>
              <w:t>2009</w:t>
            </w:r>
          </w:p>
        </w:tc>
        <w:tc>
          <w:tcPr>
            <w:tcW w:w="805" w:type="dxa"/>
            <w:noWrap/>
            <w:hideMark/>
          </w:tcPr>
          <w:p w:rsidR="006126B4" w:rsidRPr="009756DA" w:rsidRDefault="006126B4" w:rsidP="00AC20E2">
            <w:pPr>
              <w:rPr>
                <w:b/>
                <w:bCs/>
              </w:rPr>
            </w:pPr>
            <w:r w:rsidRPr="009756DA">
              <w:rPr>
                <w:b/>
                <w:bCs/>
              </w:rPr>
              <w:t>2008</w:t>
            </w:r>
          </w:p>
        </w:tc>
        <w:tc>
          <w:tcPr>
            <w:tcW w:w="805" w:type="dxa"/>
            <w:noWrap/>
            <w:hideMark/>
          </w:tcPr>
          <w:p w:rsidR="006126B4" w:rsidRPr="009756DA" w:rsidRDefault="006126B4" w:rsidP="00AC20E2">
            <w:pPr>
              <w:rPr>
                <w:b/>
                <w:bCs/>
              </w:rPr>
            </w:pPr>
            <w:r w:rsidRPr="009756DA">
              <w:rPr>
                <w:b/>
                <w:bCs/>
              </w:rPr>
              <w:t>2007</w:t>
            </w:r>
          </w:p>
        </w:tc>
        <w:tc>
          <w:tcPr>
            <w:tcW w:w="805" w:type="dxa"/>
            <w:noWrap/>
            <w:hideMark/>
          </w:tcPr>
          <w:p w:rsidR="006126B4" w:rsidRPr="009756DA" w:rsidRDefault="006126B4" w:rsidP="00AC20E2">
            <w:pPr>
              <w:rPr>
                <w:b/>
                <w:bCs/>
              </w:rPr>
            </w:pPr>
            <w:r w:rsidRPr="009756DA">
              <w:rPr>
                <w:b/>
                <w:bCs/>
              </w:rPr>
              <w:t>2006</w:t>
            </w:r>
          </w:p>
        </w:tc>
      </w:tr>
      <w:tr w:rsidR="006126B4" w:rsidRPr="009756DA" w:rsidTr="006126B4">
        <w:trPr>
          <w:trHeight w:val="298"/>
        </w:trPr>
        <w:tc>
          <w:tcPr>
            <w:tcW w:w="2685" w:type="dxa"/>
            <w:noWrap/>
            <w:hideMark/>
          </w:tcPr>
          <w:p w:rsidR="006126B4" w:rsidRPr="009756DA" w:rsidRDefault="006126B4" w:rsidP="002E419F">
            <w:pPr>
              <w:rPr>
                <w:b/>
                <w:bCs/>
              </w:rPr>
            </w:pPr>
            <w:r w:rsidRPr="009756DA">
              <w:rPr>
                <w:b/>
                <w:bCs/>
              </w:rPr>
              <w:t>Appropriations</w:t>
            </w:r>
            <w:r>
              <w:rPr>
                <w:b/>
                <w:bCs/>
              </w:rPr>
              <w:t xml:space="preserve"> </w:t>
            </w:r>
            <w:r w:rsidR="002E419F">
              <w:rPr>
                <w:b/>
                <w:bCs/>
              </w:rPr>
              <w:t>(1,000s)</w:t>
            </w:r>
          </w:p>
        </w:tc>
        <w:tc>
          <w:tcPr>
            <w:tcW w:w="881" w:type="dxa"/>
            <w:noWrap/>
            <w:hideMark/>
          </w:tcPr>
          <w:p w:rsidR="006126B4" w:rsidRPr="009756DA" w:rsidRDefault="006126B4" w:rsidP="002E419F"/>
        </w:tc>
        <w:tc>
          <w:tcPr>
            <w:tcW w:w="881"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r>
      <w:tr w:rsidR="006126B4" w:rsidRPr="009756DA" w:rsidTr="002E419F">
        <w:trPr>
          <w:trHeight w:val="298"/>
        </w:trPr>
        <w:tc>
          <w:tcPr>
            <w:tcW w:w="2685" w:type="dxa"/>
            <w:noWrap/>
            <w:hideMark/>
          </w:tcPr>
          <w:p w:rsidR="006126B4" w:rsidRPr="009756DA" w:rsidRDefault="006126B4" w:rsidP="002E419F">
            <w:r w:rsidRPr="009756DA">
              <w:t>Health Care Access Fund</w:t>
            </w:r>
          </w:p>
        </w:tc>
        <w:tc>
          <w:tcPr>
            <w:tcW w:w="881" w:type="dxa"/>
            <w:noWrap/>
            <w:vAlign w:val="center"/>
            <w:hideMark/>
          </w:tcPr>
          <w:p w:rsidR="006126B4" w:rsidRPr="009756DA" w:rsidRDefault="006126B4" w:rsidP="002E419F">
            <w:pPr>
              <w:jc w:val="center"/>
            </w:pPr>
            <w:r>
              <w:t>740</w:t>
            </w:r>
          </w:p>
        </w:tc>
        <w:tc>
          <w:tcPr>
            <w:tcW w:w="881"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r>
      <w:tr w:rsidR="006126B4" w:rsidRPr="009756DA" w:rsidTr="002E419F">
        <w:trPr>
          <w:trHeight w:val="298"/>
        </w:trPr>
        <w:tc>
          <w:tcPr>
            <w:tcW w:w="2685" w:type="dxa"/>
            <w:noWrap/>
            <w:hideMark/>
          </w:tcPr>
          <w:p w:rsidR="006126B4" w:rsidRPr="009756DA" w:rsidRDefault="006126B4" w:rsidP="002E419F">
            <w:r w:rsidRPr="009756DA">
              <w:t>Board of Nursing SGSR</w:t>
            </w:r>
          </w:p>
        </w:tc>
        <w:tc>
          <w:tcPr>
            <w:tcW w:w="881" w:type="dxa"/>
            <w:noWrap/>
            <w:vAlign w:val="center"/>
            <w:hideMark/>
          </w:tcPr>
          <w:p w:rsidR="006126B4" w:rsidRPr="009756DA" w:rsidRDefault="006126B4" w:rsidP="002E419F">
            <w:pPr>
              <w:jc w:val="center"/>
            </w:pPr>
          </w:p>
        </w:tc>
        <w:tc>
          <w:tcPr>
            <w:tcW w:w="881"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125</w:t>
            </w:r>
          </w:p>
        </w:tc>
      </w:tr>
      <w:tr w:rsidR="006126B4" w:rsidRPr="009756DA" w:rsidTr="002E419F">
        <w:trPr>
          <w:trHeight w:val="298"/>
        </w:trPr>
        <w:tc>
          <w:tcPr>
            <w:tcW w:w="2685" w:type="dxa"/>
            <w:noWrap/>
            <w:hideMark/>
          </w:tcPr>
          <w:p w:rsidR="006126B4" w:rsidRPr="009756DA" w:rsidRDefault="006126B4" w:rsidP="002E419F">
            <w:r w:rsidRPr="009756DA">
              <w:t>Board of Medical Practice SGSR</w:t>
            </w:r>
          </w:p>
        </w:tc>
        <w:tc>
          <w:tcPr>
            <w:tcW w:w="881" w:type="dxa"/>
            <w:noWrap/>
            <w:vAlign w:val="center"/>
            <w:hideMark/>
          </w:tcPr>
          <w:p w:rsidR="006126B4" w:rsidRPr="009756DA" w:rsidRDefault="006126B4" w:rsidP="002E419F">
            <w:pPr>
              <w:jc w:val="center"/>
            </w:pPr>
          </w:p>
        </w:tc>
        <w:tc>
          <w:tcPr>
            <w:tcW w:w="881"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r>
      <w:tr w:rsidR="006126B4" w:rsidRPr="009756DA" w:rsidTr="002E419F">
        <w:trPr>
          <w:trHeight w:val="298"/>
        </w:trPr>
        <w:tc>
          <w:tcPr>
            <w:tcW w:w="2685" w:type="dxa"/>
            <w:noWrap/>
            <w:hideMark/>
          </w:tcPr>
          <w:p w:rsidR="006126B4" w:rsidRPr="009756DA" w:rsidRDefault="006126B4" w:rsidP="002E419F">
            <w:r w:rsidRPr="009756DA">
              <w:t>Loan Forgiveness GF</w:t>
            </w:r>
          </w:p>
        </w:tc>
        <w:tc>
          <w:tcPr>
            <w:tcW w:w="881" w:type="dxa"/>
            <w:noWrap/>
            <w:vAlign w:val="center"/>
            <w:hideMark/>
          </w:tcPr>
          <w:p w:rsidR="006126B4" w:rsidRPr="009756DA" w:rsidRDefault="006126B4" w:rsidP="002E419F">
            <w:pPr>
              <w:jc w:val="center"/>
            </w:pPr>
          </w:p>
        </w:tc>
        <w:tc>
          <w:tcPr>
            <w:tcW w:w="881"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95</w:t>
            </w:r>
          </w:p>
        </w:tc>
      </w:tr>
      <w:tr w:rsidR="006126B4" w:rsidRPr="009756DA" w:rsidTr="002E419F">
        <w:trPr>
          <w:trHeight w:val="368"/>
        </w:trPr>
        <w:tc>
          <w:tcPr>
            <w:tcW w:w="2685" w:type="dxa"/>
            <w:noWrap/>
          </w:tcPr>
          <w:p w:rsidR="002E419F" w:rsidRPr="00F737F6" w:rsidRDefault="006126B4" w:rsidP="002E419F">
            <w:pPr>
              <w:rPr>
                <w:i/>
              </w:rPr>
            </w:pPr>
            <w:r w:rsidRPr="00F737F6">
              <w:rPr>
                <w:i/>
              </w:rPr>
              <w:t>MMA Foundation</w:t>
            </w:r>
          </w:p>
        </w:tc>
        <w:tc>
          <w:tcPr>
            <w:tcW w:w="881" w:type="dxa"/>
            <w:noWrap/>
            <w:vAlign w:val="center"/>
          </w:tcPr>
          <w:p w:rsidR="006126B4" w:rsidRPr="00F737F6" w:rsidRDefault="006126B4" w:rsidP="002E419F">
            <w:pPr>
              <w:jc w:val="center"/>
              <w:rPr>
                <w:i/>
              </w:rPr>
            </w:pPr>
            <w:r w:rsidRPr="00F737F6">
              <w:rPr>
                <w:i/>
              </w:rPr>
              <w:t>50</w:t>
            </w:r>
          </w:p>
        </w:tc>
        <w:tc>
          <w:tcPr>
            <w:tcW w:w="881"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F737F6" w:rsidRDefault="006126B4" w:rsidP="002E419F">
            <w:pPr>
              <w:jc w:val="center"/>
              <w:rPr>
                <w:i/>
              </w:rPr>
            </w:pPr>
          </w:p>
        </w:tc>
        <w:tc>
          <w:tcPr>
            <w:tcW w:w="805" w:type="dxa"/>
            <w:noWrap/>
            <w:vAlign w:val="center"/>
          </w:tcPr>
          <w:p w:rsidR="006126B4" w:rsidRPr="00F737F6" w:rsidRDefault="006126B4" w:rsidP="002E419F">
            <w:pPr>
              <w:jc w:val="center"/>
              <w:rPr>
                <w:i/>
              </w:rPr>
            </w:pPr>
          </w:p>
        </w:tc>
        <w:tc>
          <w:tcPr>
            <w:tcW w:w="805"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9756DA" w:rsidRDefault="006126B4" w:rsidP="002E419F">
            <w:pPr>
              <w:jc w:val="center"/>
            </w:pPr>
          </w:p>
        </w:tc>
        <w:tc>
          <w:tcPr>
            <w:tcW w:w="805" w:type="dxa"/>
            <w:noWrap/>
            <w:vAlign w:val="center"/>
          </w:tcPr>
          <w:p w:rsidR="006126B4" w:rsidRPr="009756DA" w:rsidRDefault="006126B4" w:rsidP="002E419F">
            <w:pPr>
              <w:jc w:val="center"/>
            </w:pPr>
          </w:p>
        </w:tc>
        <w:tc>
          <w:tcPr>
            <w:tcW w:w="805" w:type="dxa"/>
            <w:noWrap/>
            <w:vAlign w:val="center"/>
          </w:tcPr>
          <w:p w:rsidR="006126B4" w:rsidRPr="009756DA" w:rsidRDefault="006126B4" w:rsidP="002E419F">
            <w:pPr>
              <w:jc w:val="center"/>
            </w:pPr>
          </w:p>
        </w:tc>
      </w:tr>
      <w:tr w:rsidR="006126B4" w:rsidRPr="009756DA" w:rsidTr="002E419F">
        <w:trPr>
          <w:trHeight w:val="298"/>
        </w:trPr>
        <w:tc>
          <w:tcPr>
            <w:tcW w:w="2685" w:type="dxa"/>
            <w:noWrap/>
            <w:hideMark/>
          </w:tcPr>
          <w:p w:rsidR="006126B4" w:rsidRPr="001D59EB" w:rsidRDefault="006126B4" w:rsidP="002E419F">
            <w:pPr>
              <w:rPr>
                <w:b/>
              </w:rPr>
            </w:pPr>
            <w:r w:rsidRPr="001D59EB">
              <w:rPr>
                <w:b/>
              </w:rPr>
              <w:t>Total Loan Forgiveness Funding</w:t>
            </w:r>
          </w:p>
        </w:tc>
        <w:tc>
          <w:tcPr>
            <w:tcW w:w="881" w:type="dxa"/>
            <w:noWrap/>
            <w:vAlign w:val="center"/>
            <w:hideMark/>
          </w:tcPr>
          <w:p w:rsidR="006126B4" w:rsidRPr="002E419F" w:rsidRDefault="006126B4" w:rsidP="002E419F">
            <w:pPr>
              <w:jc w:val="center"/>
              <w:rPr>
                <w:b/>
              </w:rPr>
            </w:pPr>
            <w:r w:rsidRPr="002E419F">
              <w:rPr>
                <w:b/>
              </w:rPr>
              <w:t>790</w:t>
            </w:r>
          </w:p>
        </w:tc>
        <w:tc>
          <w:tcPr>
            <w:tcW w:w="881" w:type="dxa"/>
            <w:noWrap/>
            <w:vAlign w:val="center"/>
            <w:hideMark/>
          </w:tcPr>
          <w:p w:rsidR="006126B4" w:rsidRPr="002E419F" w:rsidRDefault="006126B4" w:rsidP="002E419F">
            <w:pPr>
              <w:jc w:val="center"/>
              <w:rPr>
                <w:b/>
              </w:rPr>
            </w:pPr>
            <w:r w:rsidRPr="002E419F">
              <w:rPr>
                <w:b/>
              </w:rPr>
              <w:t>790</w:t>
            </w:r>
          </w:p>
        </w:tc>
        <w:tc>
          <w:tcPr>
            <w:tcW w:w="805" w:type="dxa"/>
            <w:noWrap/>
            <w:vAlign w:val="center"/>
            <w:hideMark/>
          </w:tcPr>
          <w:p w:rsidR="006126B4" w:rsidRPr="002E419F" w:rsidRDefault="006126B4" w:rsidP="002E419F">
            <w:pPr>
              <w:jc w:val="center"/>
              <w:rPr>
                <w:b/>
              </w:rPr>
            </w:pPr>
            <w:r w:rsidRPr="002E419F">
              <w:rPr>
                <w:b/>
              </w:rPr>
              <w:t>790</w:t>
            </w:r>
          </w:p>
        </w:tc>
        <w:tc>
          <w:tcPr>
            <w:tcW w:w="805" w:type="dxa"/>
            <w:noWrap/>
            <w:vAlign w:val="center"/>
            <w:hideMark/>
          </w:tcPr>
          <w:p w:rsidR="006126B4" w:rsidRPr="002E419F" w:rsidRDefault="006126B4" w:rsidP="002E419F">
            <w:pPr>
              <w:jc w:val="center"/>
              <w:rPr>
                <w:b/>
              </w:rPr>
            </w:pPr>
            <w:r w:rsidRPr="002E419F">
              <w:rPr>
                <w:b/>
              </w:rPr>
              <w:t>790</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1,345</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1,160</w:t>
            </w:r>
          </w:p>
        </w:tc>
      </w:tr>
      <w:tr w:rsidR="006126B4" w:rsidRPr="009756DA" w:rsidTr="002E419F">
        <w:trPr>
          <w:trHeight w:val="298"/>
        </w:trPr>
        <w:tc>
          <w:tcPr>
            <w:tcW w:w="2685" w:type="dxa"/>
            <w:noWrap/>
            <w:hideMark/>
          </w:tcPr>
          <w:p w:rsidR="006126B4" w:rsidRPr="009756DA" w:rsidRDefault="006126B4" w:rsidP="002E419F">
            <w:pPr>
              <w:rPr>
                <w:b/>
                <w:bCs/>
              </w:rPr>
            </w:pPr>
            <w:r>
              <w:rPr>
                <w:b/>
                <w:bCs/>
              </w:rPr>
              <w:t xml:space="preserve">Number of New  </w:t>
            </w:r>
            <w:r w:rsidRPr="009756DA">
              <w:rPr>
                <w:b/>
                <w:bCs/>
              </w:rPr>
              <w:t>Awards</w:t>
            </w:r>
          </w:p>
        </w:tc>
        <w:tc>
          <w:tcPr>
            <w:tcW w:w="881" w:type="dxa"/>
            <w:noWrap/>
            <w:vAlign w:val="center"/>
            <w:hideMark/>
          </w:tcPr>
          <w:p w:rsidR="006126B4" w:rsidRPr="002E419F" w:rsidRDefault="006126B4" w:rsidP="002E419F">
            <w:pPr>
              <w:jc w:val="center"/>
              <w:rPr>
                <w:b/>
              </w:rPr>
            </w:pPr>
            <w:r w:rsidRPr="002E419F">
              <w:rPr>
                <w:b/>
              </w:rPr>
              <w:t>16</w:t>
            </w:r>
          </w:p>
        </w:tc>
        <w:tc>
          <w:tcPr>
            <w:tcW w:w="881" w:type="dxa"/>
            <w:noWrap/>
            <w:vAlign w:val="center"/>
            <w:hideMark/>
          </w:tcPr>
          <w:p w:rsidR="006126B4" w:rsidRPr="002E419F" w:rsidRDefault="006126B4" w:rsidP="002E419F">
            <w:pPr>
              <w:jc w:val="center"/>
              <w:rPr>
                <w:b/>
              </w:rPr>
            </w:pPr>
            <w:r w:rsidRPr="002E419F">
              <w:rPr>
                <w:b/>
              </w:rPr>
              <w:t>18</w:t>
            </w:r>
          </w:p>
        </w:tc>
        <w:tc>
          <w:tcPr>
            <w:tcW w:w="805" w:type="dxa"/>
            <w:noWrap/>
            <w:vAlign w:val="center"/>
            <w:hideMark/>
          </w:tcPr>
          <w:p w:rsidR="006126B4" w:rsidRPr="002E419F" w:rsidRDefault="006126B4" w:rsidP="002E419F">
            <w:pPr>
              <w:jc w:val="center"/>
              <w:rPr>
                <w:b/>
              </w:rPr>
            </w:pPr>
            <w:r w:rsidRPr="002E419F">
              <w:rPr>
                <w:b/>
              </w:rPr>
              <w:t>16</w:t>
            </w:r>
          </w:p>
        </w:tc>
        <w:tc>
          <w:tcPr>
            <w:tcW w:w="805" w:type="dxa"/>
            <w:noWrap/>
            <w:vAlign w:val="center"/>
            <w:hideMark/>
          </w:tcPr>
          <w:p w:rsidR="006126B4" w:rsidRPr="002E419F" w:rsidRDefault="006126B4" w:rsidP="002E419F">
            <w:pPr>
              <w:jc w:val="center"/>
              <w:rPr>
                <w:b/>
              </w:rPr>
            </w:pPr>
            <w:r w:rsidRPr="002E419F">
              <w:rPr>
                <w:b/>
              </w:rPr>
              <w:t>23</w:t>
            </w:r>
          </w:p>
        </w:tc>
        <w:tc>
          <w:tcPr>
            <w:tcW w:w="805" w:type="dxa"/>
            <w:noWrap/>
            <w:vAlign w:val="center"/>
            <w:hideMark/>
          </w:tcPr>
          <w:p w:rsidR="006126B4" w:rsidRPr="002E419F" w:rsidRDefault="006126B4" w:rsidP="002E419F">
            <w:pPr>
              <w:jc w:val="center"/>
              <w:rPr>
                <w:b/>
              </w:rPr>
            </w:pPr>
            <w:r w:rsidRPr="002E419F">
              <w:rPr>
                <w:b/>
              </w:rPr>
              <w:t>28</w:t>
            </w:r>
          </w:p>
        </w:tc>
        <w:tc>
          <w:tcPr>
            <w:tcW w:w="805" w:type="dxa"/>
            <w:noWrap/>
            <w:vAlign w:val="center"/>
            <w:hideMark/>
          </w:tcPr>
          <w:p w:rsidR="006126B4" w:rsidRPr="002E419F" w:rsidRDefault="006126B4" w:rsidP="002E419F">
            <w:pPr>
              <w:jc w:val="center"/>
              <w:rPr>
                <w:b/>
              </w:rPr>
            </w:pPr>
            <w:r w:rsidRPr="002E419F">
              <w:rPr>
                <w:b/>
              </w:rPr>
              <w:t>22</w:t>
            </w:r>
          </w:p>
        </w:tc>
        <w:tc>
          <w:tcPr>
            <w:tcW w:w="805" w:type="dxa"/>
            <w:noWrap/>
            <w:vAlign w:val="center"/>
            <w:hideMark/>
          </w:tcPr>
          <w:p w:rsidR="006126B4" w:rsidRPr="002E419F" w:rsidRDefault="006126B4" w:rsidP="002E419F">
            <w:pPr>
              <w:jc w:val="center"/>
              <w:rPr>
                <w:b/>
              </w:rPr>
            </w:pPr>
            <w:r w:rsidRPr="002E419F">
              <w:rPr>
                <w:b/>
              </w:rPr>
              <w:t>36</w:t>
            </w:r>
          </w:p>
        </w:tc>
        <w:tc>
          <w:tcPr>
            <w:tcW w:w="805" w:type="dxa"/>
            <w:noWrap/>
            <w:vAlign w:val="center"/>
            <w:hideMark/>
          </w:tcPr>
          <w:p w:rsidR="006126B4" w:rsidRPr="002E419F" w:rsidRDefault="006126B4" w:rsidP="002E419F">
            <w:pPr>
              <w:jc w:val="center"/>
              <w:rPr>
                <w:b/>
              </w:rPr>
            </w:pPr>
            <w:r w:rsidRPr="002E419F">
              <w:rPr>
                <w:b/>
              </w:rPr>
              <w:t>35</w:t>
            </w:r>
          </w:p>
        </w:tc>
        <w:tc>
          <w:tcPr>
            <w:tcW w:w="805" w:type="dxa"/>
            <w:noWrap/>
            <w:vAlign w:val="center"/>
            <w:hideMark/>
          </w:tcPr>
          <w:p w:rsidR="006126B4" w:rsidRPr="002E419F" w:rsidRDefault="006126B4" w:rsidP="002E419F">
            <w:pPr>
              <w:jc w:val="center"/>
              <w:rPr>
                <w:b/>
              </w:rPr>
            </w:pPr>
            <w:r w:rsidRPr="002E419F">
              <w:rPr>
                <w:b/>
              </w:rPr>
              <w:t>48</w:t>
            </w:r>
          </w:p>
        </w:tc>
        <w:tc>
          <w:tcPr>
            <w:tcW w:w="805" w:type="dxa"/>
            <w:noWrap/>
            <w:vAlign w:val="center"/>
            <w:hideMark/>
          </w:tcPr>
          <w:p w:rsidR="006126B4" w:rsidRPr="002E419F" w:rsidRDefault="006126B4" w:rsidP="002E419F">
            <w:pPr>
              <w:jc w:val="center"/>
              <w:rPr>
                <w:b/>
              </w:rPr>
            </w:pPr>
            <w:r w:rsidRPr="002E419F">
              <w:rPr>
                <w:b/>
              </w:rPr>
              <w:t>46</w:t>
            </w:r>
          </w:p>
        </w:tc>
      </w:tr>
    </w:tbl>
    <w:p w:rsidR="005631F2" w:rsidRDefault="005631F2" w:rsidP="005631F2">
      <w:pPr>
        <w:pStyle w:val="BasicParagraph"/>
      </w:pPr>
    </w:p>
    <w:p w:rsidR="00240A74" w:rsidRDefault="00240A74" w:rsidP="005631F2">
      <w:pPr>
        <w:pStyle w:val="Heading2"/>
        <w:sectPr w:rsidR="00240A74" w:rsidSect="002E23D3">
          <w:headerReference w:type="default" r:id="rId10"/>
          <w:footnotePr>
            <w:numFmt w:val="lowerRoman"/>
          </w:footnotePr>
          <w:type w:val="continuous"/>
          <w:pgSz w:w="12240" w:h="15840"/>
          <w:pgMar w:top="1350" w:right="720" w:bottom="720" w:left="720" w:header="720" w:footer="525" w:gutter="0"/>
          <w:cols w:space="720"/>
          <w:titlePg/>
          <w:docGrid w:linePitch="360"/>
        </w:sectPr>
      </w:pPr>
    </w:p>
    <w:p w:rsidR="005631F2" w:rsidRDefault="005631F2" w:rsidP="005631F2">
      <w:pPr>
        <w:pStyle w:val="Heading2"/>
      </w:pPr>
      <w:r>
        <w:lastRenderedPageBreak/>
        <w:t>New Findings</w:t>
      </w:r>
    </w:p>
    <w:p w:rsidR="00240A74" w:rsidRDefault="005631F2" w:rsidP="005631F2">
      <w:pPr>
        <w:pStyle w:val="BasicParagraph"/>
      </w:pPr>
      <w:r>
        <w:t>In th</w:t>
      </w:r>
      <w:r w:rsidR="008E3E0B">
        <w:t>e s</w:t>
      </w:r>
      <w:r w:rsidR="006B559E">
        <w:t>ummer of 2014, MDH evaluated retention data for the program</w:t>
      </w:r>
      <w:r w:rsidR="008E3E0B">
        <w:t>.  MDH used program data, licensing board data, and in certain cases survey data to verify practice site for recipients of the program.</w:t>
      </w:r>
      <w:r w:rsidR="00D35096">
        <w:t xml:space="preserve">  Past recipients were tallied based on whether their current practice site would still</w:t>
      </w:r>
      <w:r w:rsidR="00240A74">
        <w:t xml:space="preserve"> qualify them for the program. The timeframes are the number of years after </w:t>
      </w:r>
      <w:r w:rsidR="00D35096">
        <w:t>complet</w:t>
      </w:r>
      <w:r w:rsidR="00240A74">
        <w:t>ion of program requirements.</w:t>
      </w:r>
      <w:r>
        <w:t xml:space="preserve"> </w:t>
      </w:r>
    </w:p>
    <w:tbl>
      <w:tblPr>
        <w:tblW w:w="9825" w:type="dxa"/>
        <w:tblInd w:w="93" w:type="dxa"/>
        <w:tblLook w:val="04A0" w:firstRow="1" w:lastRow="0" w:firstColumn="1" w:lastColumn="0" w:noHBand="0" w:noVBand="1"/>
      </w:tblPr>
      <w:tblGrid>
        <w:gridCol w:w="3620"/>
        <w:gridCol w:w="1180"/>
        <w:gridCol w:w="1180"/>
        <w:gridCol w:w="1235"/>
        <w:gridCol w:w="1260"/>
        <w:gridCol w:w="1350"/>
      </w:tblGrid>
      <w:tr w:rsidR="002E419F" w:rsidRPr="004C33F6" w:rsidTr="00240A74">
        <w:trPr>
          <w:trHeight w:val="620"/>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Rural Physician                </w:t>
            </w:r>
          </w:p>
          <w:p w:rsidR="002E419F" w:rsidRPr="004C33F6" w:rsidRDefault="002E419F" w:rsidP="008F2ED6">
            <w:pPr>
              <w:spacing w:line="240" w:lineRule="auto"/>
              <w:rPr>
                <w:rFonts w:ascii="Calibri" w:hAnsi="Calibri"/>
                <w:b/>
                <w:bCs/>
              </w:rPr>
            </w:pPr>
            <w:r w:rsidRPr="004C33F6">
              <w:rPr>
                <w:rFonts w:ascii="Calibri" w:hAnsi="Calibri"/>
                <w:b/>
                <w:bCs/>
              </w:rPr>
              <w:t>Loan Forgiveness Program</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15 Years (FY00-</w:t>
            </w:r>
            <w:r w:rsidRPr="004C33F6">
              <w:rPr>
                <w:rFonts w:ascii="Calibri" w:hAnsi="Calibri"/>
                <w:b/>
                <w:bCs/>
              </w:rPr>
              <w:t>14)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(FY94-</w:t>
            </w:r>
            <w:r w:rsidRPr="004C33F6">
              <w:rPr>
                <w:rFonts w:ascii="Calibri" w:hAnsi="Calibri"/>
                <w:b/>
                <w:bCs/>
              </w:rPr>
              <w:t>14)</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(FY91-</w:t>
            </w:r>
            <w:r w:rsidRPr="004C33F6">
              <w:rPr>
                <w:rFonts w:ascii="Calibri" w:hAnsi="Calibri"/>
                <w:b/>
                <w:bCs/>
              </w:rPr>
              <w:t>14)</w:t>
            </w:r>
          </w:p>
        </w:tc>
      </w:tr>
      <w:tr w:rsidR="002E419F" w:rsidRPr="004C33F6" w:rsidTr="00240A74">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rural community by original definition of rural area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88.9% (8)</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87.9% (36)</w:t>
            </w:r>
          </w:p>
        </w:tc>
        <w:tc>
          <w:tcPr>
            <w:tcW w:w="1235" w:type="dxa"/>
            <w:tcBorders>
              <w:top w:val="nil"/>
              <w:left w:val="nil"/>
              <w:bottom w:val="single" w:sz="4" w:space="0" w:color="auto"/>
              <w:right w:val="single" w:sz="4" w:space="0" w:color="auto"/>
            </w:tcBorders>
            <w:shd w:val="clear" w:color="000000" w:fill="FABF8F"/>
            <w:noWrap/>
            <w:vAlign w:val="center"/>
            <w:hideMark/>
          </w:tcPr>
          <w:p w:rsidR="002E419F" w:rsidRPr="004C33F6" w:rsidRDefault="002E419F" w:rsidP="008F2ED6">
            <w:pPr>
              <w:spacing w:line="240" w:lineRule="auto"/>
              <w:jc w:val="center"/>
              <w:rPr>
                <w:rFonts w:ascii="Calibri" w:hAnsi="Calibri"/>
              </w:rPr>
            </w:pPr>
            <w:r>
              <w:rPr>
                <w:rFonts w:ascii="Calibri" w:hAnsi="Calibri"/>
              </w:rPr>
              <w:t xml:space="preserve">78.3%             </w:t>
            </w:r>
            <w:r w:rsidRPr="004C33F6">
              <w:rPr>
                <w:rFonts w:ascii="Calibri" w:hAnsi="Calibri"/>
              </w:rPr>
              <w:t>(94)</w:t>
            </w:r>
          </w:p>
        </w:tc>
        <w:tc>
          <w:tcPr>
            <w:tcW w:w="126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center"/>
              <w:rPr>
                <w:rFonts w:ascii="Calibri" w:hAnsi="Calibri"/>
              </w:rPr>
            </w:pPr>
            <w:r w:rsidRPr="004C33F6">
              <w:rPr>
                <w:rFonts w:ascii="Calibri" w:hAnsi="Calibri"/>
              </w:rPr>
              <w:t>73.5% (125)</w:t>
            </w:r>
          </w:p>
        </w:tc>
        <w:tc>
          <w:tcPr>
            <w:tcW w:w="1350" w:type="dxa"/>
            <w:tcBorders>
              <w:top w:val="nil"/>
              <w:left w:val="nil"/>
              <w:bottom w:val="single" w:sz="4" w:space="0" w:color="auto"/>
              <w:right w:val="single" w:sz="4" w:space="0" w:color="auto"/>
            </w:tcBorders>
            <w:shd w:val="clear" w:color="000000" w:fill="FABF8F"/>
            <w:noWrap/>
            <w:vAlign w:val="center"/>
            <w:hideMark/>
          </w:tcPr>
          <w:p w:rsidR="002E419F" w:rsidRPr="004C33F6" w:rsidRDefault="002E419F" w:rsidP="008F2ED6">
            <w:pPr>
              <w:spacing w:line="240" w:lineRule="auto"/>
              <w:jc w:val="center"/>
              <w:rPr>
                <w:rFonts w:ascii="Calibri" w:hAnsi="Calibri"/>
              </w:rPr>
            </w:pPr>
            <w:r w:rsidRPr="004C33F6">
              <w:rPr>
                <w:rFonts w:ascii="Calibri" w:hAnsi="Calibri"/>
              </w:rPr>
              <w:t>74.5% (149)</w:t>
            </w:r>
          </w:p>
        </w:tc>
      </w:tr>
      <w:tr w:rsidR="002E419F" w:rsidRPr="004C33F6" w:rsidTr="00240A74">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9</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41</w:t>
            </w:r>
          </w:p>
        </w:tc>
        <w:tc>
          <w:tcPr>
            <w:tcW w:w="1235"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120</w:t>
            </w:r>
          </w:p>
        </w:tc>
        <w:tc>
          <w:tcPr>
            <w:tcW w:w="126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170</w:t>
            </w:r>
          </w:p>
        </w:tc>
        <w:tc>
          <w:tcPr>
            <w:tcW w:w="135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192</w:t>
            </w:r>
          </w:p>
        </w:tc>
      </w:tr>
      <w:tr w:rsidR="002E419F" w:rsidRPr="004C33F6" w:rsidTr="00240A74">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235"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26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35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240A74">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19F" w:rsidRDefault="002E419F" w:rsidP="008F2ED6">
            <w:pPr>
              <w:spacing w:line="240" w:lineRule="auto"/>
              <w:rPr>
                <w:rFonts w:ascii="Calibri" w:hAnsi="Calibri"/>
                <w:b/>
                <w:bCs/>
              </w:rPr>
            </w:pPr>
            <w:r>
              <w:rPr>
                <w:rFonts w:ascii="Calibri" w:hAnsi="Calibri"/>
                <w:b/>
                <w:bCs/>
              </w:rPr>
              <w:t xml:space="preserve">Rural </w:t>
            </w:r>
            <w:proofErr w:type="spellStart"/>
            <w:r>
              <w:rPr>
                <w:rFonts w:ascii="Calibri" w:hAnsi="Calibri"/>
                <w:b/>
                <w:bCs/>
              </w:rPr>
              <w:t>MidLevel</w:t>
            </w:r>
            <w:proofErr w:type="spellEnd"/>
          </w:p>
          <w:p w:rsidR="002E419F" w:rsidRPr="004C33F6" w:rsidRDefault="002E419F" w:rsidP="008F2ED6">
            <w:pPr>
              <w:spacing w:line="240" w:lineRule="auto"/>
              <w:rPr>
                <w:rFonts w:ascii="Calibri" w:hAnsi="Calibri"/>
                <w:b/>
                <w:bCs/>
              </w:rPr>
            </w:pPr>
            <w:r w:rsidRPr="004C33F6">
              <w:rPr>
                <w:rFonts w:ascii="Calibri" w:hAnsi="Calibri"/>
                <w:b/>
                <w:bCs/>
              </w:rPr>
              <w:t xml:space="preserve">Loan Forgiveness Program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15 Years (FY00-</w:t>
            </w:r>
            <w:r w:rsidRPr="004C33F6">
              <w:rPr>
                <w:rFonts w:ascii="Calibri" w:hAnsi="Calibri"/>
                <w:b/>
                <w:bCs/>
              </w:rPr>
              <w:t>14)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(FY94-</w:t>
            </w:r>
            <w:r w:rsidRPr="004C33F6">
              <w:rPr>
                <w:rFonts w:ascii="Calibri" w:hAnsi="Calibri"/>
                <w:b/>
                <w:bCs/>
              </w:rPr>
              <w:t>14)</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240A74">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rural community by original definition of rural area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100% (5)</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93.1% (27)</w:t>
            </w:r>
          </w:p>
        </w:tc>
        <w:tc>
          <w:tcPr>
            <w:tcW w:w="1235"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71.6% (48)</w:t>
            </w:r>
          </w:p>
        </w:tc>
        <w:tc>
          <w:tcPr>
            <w:tcW w:w="126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70.2% (80)</w:t>
            </w:r>
          </w:p>
        </w:tc>
        <w:tc>
          <w:tcPr>
            <w:tcW w:w="135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240A74">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5</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29</w:t>
            </w:r>
          </w:p>
        </w:tc>
        <w:tc>
          <w:tcPr>
            <w:tcW w:w="1235"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67</w:t>
            </w:r>
          </w:p>
        </w:tc>
        <w:tc>
          <w:tcPr>
            <w:tcW w:w="126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114</w:t>
            </w:r>
          </w:p>
        </w:tc>
        <w:tc>
          <w:tcPr>
            <w:tcW w:w="135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bl>
    <w:p w:rsidR="002E419F" w:rsidRDefault="002E419F" w:rsidP="002E419F"/>
    <w:tbl>
      <w:tblPr>
        <w:tblW w:w="9400" w:type="dxa"/>
        <w:tblInd w:w="93" w:type="dxa"/>
        <w:tblLook w:val="04A0" w:firstRow="1" w:lastRow="0" w:firstColumn="1" w:lastColumn="0" w:noHBand="0" w:noVBand="1"/>
      </w:tblPr>
      <w:tblGrid>
        <w:gridCol w:w="3538"/>
        <w:gridCol w:w="1180"/>
        <w:gridCol w:w="1180"/>
        <w:gridCol w:w="1202"/>
        <w:gridCol w:w="1120"/>
        <w:gridCol w:w="1180"/>
      </w:tblGrid>
      <w:tr w:rsidR="002E419F" w:rsidRPr="004C33F6" w:rsidTr="008F2ED6">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Pr="004C33F6" w:rsidRDefault="002E419F" w:rsidP="008F2ED6">
            <w:pPr>
              <w:spacing w:line="240" w:lineRule="auto"/>
              <w:rPr>
                <w:rFonts w:ascii="Calibri" w:hAnsi="Calibri"/>
                <w:b/>
                <w:bCs/>
              </w:rPr>
            </w:pPr>
            <w:r w:rsidRPr="004C33F6">
              <w:rPr>
                <w:rFonts w:ascii="Calibri" w:hAnsi="Calibri"/>
                <w:b/>
                <w:bCs/>
              </w:rPr>
              <w:t xml:space="preserve">Rural Pharmacist Loan Forgiveness Program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8 Years (FY06-</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sidRPr="004C33F6">
              <w:rPr>
                <w:rFonts w:ascii="Calibri" w:hAnsi="Calibri"/>
                <w:b/>
                <w:bCs/>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rural community by original definition of rural area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80% (8)</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84.2% (32)</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10</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38</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8F2ED6">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Nurse </w:t>
            </w:r>
          </w:p>
          <w:p w:rsidR="002E419F" w:rsidRPr="004C33F6" w:rsidRDefault="002E419F" w:rsidP="008F2ED6">
            <w:pPr>
              <w:spacing w:line="240" w:lineRule="auto"/>
              <w:rPr>
                <w:rFonts w:ascii="Calibri" w:hAnsi="Calibri"/>
                <w:b/>
                <w:bCs/>
              </w:rPr>
            </w:pPr>
            <w:r w:rsidRPr="004C33F6">
              <w:rPr>
                <w:rFonts w:ascii="Calibri" w:hAnsi="Calibri"/>
                <w:b/>
                <w:bCs/>
              </w:rPr>
              <w:t>Loan Forgiveness Program</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15 Years (FY00-</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(F94-</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Licensed Nursing Home or Independent Care Facility</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N/A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73.7% (14)</w:t>
            </w:r>
          </w:p>
        </w:tc>
        <w:tc>
          <w:tcPr>
            <w:tcW w:w="112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69.7 % (23)</w:t>
            </w:r>
          </w:p>
        </w:tc>
        <w:tc>
          <w:tcPr>
            <w:tcW w:w="112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56.7% (38)</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r>
              <w:rPr>
                <w:rFonts w:ascii="Calibri" w:hAnsi="Calibri"/>
                <w:i/>
                <w:iCs/>
              </w:rPr>
              <w:t xml:space="preserve"> </w:t>
            </w:r>
            <w:r w:rsidRPr="002E419F">
              <w:rPr>
                <w:rFonts w:ascii="Calibri" w:hAnsi="Calibri"/>
                <w:b/>
                <w:i/>
                <w:iCs/>
              </w:rPr>
              <w:t>who responded to the MDH survey</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0</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19</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33</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67</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i/>
                <w:iCs/>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8F2ED6">
        <w:trPr>
          <w:trHeight w:val="602"/>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Dentist </w:t>
            </w:r>
          </w:p>
          <w:p w:rsidR="002E419F" w:rsidRPr="004C33F6" w:rsidRDefault="002E419F" w:rsidP="008F2ED6">
            <w:pPr>
              <w:spacing w:line="240" w:lineRule="auto"/>
              <w:rPr>
                <w:rFonts w:ascii="Calibri" w:hAnsi="Calibri"/>
                <w:b/>
                <w:bCs/>
              </w:rPr>
            </w:pPr>
            <w:r w:rsidRPr="004C33F6">
              <w:rPr>
                <w:rFonts w:ascii="Calibri" w:hAnsi="Calibri"/>
                <w:b/>
                <w:bCs/>
              </w:rPr>
              <w:t>Loan Forgiveness Program</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12 Years (FY02-</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Active MN License and Practicing</w:t>
            </w:r>
            <w:r>
              <w:rPr>
                <w:rFonts w:ascii="Calibri" w:hAnsi="Calibri"/>
              </w:rPr>
              <w:t>,</w:t>
            </w:r>
            <w:r w:rsidRPr="004C33F6">
              <w:rPr>
                <w:rFonts w:ascii="Calibri" w:hAnsi="Calibri"/>
              </w:rPr>
              <w:t xml:space="preserve"> offering Public Assistance</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66.7% (4)</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51.6% (16)</w:t>
            </w:r>
          </w:p>
        </w:tc>
        <w:tc>
          <w:tcPr>
            <w:tcW w:w="112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rPr>
                <w:rFonts w:ascii="Calibri" w:hAnsi="Calibri"/>
              </w:rPr>
            </w:pPr>
            <w:r>
              <w:rPr>
                <w:rFonts w:ascii="Calibri" w:hAnsi="Calibri"/>
              </w:rPr>
              <w:t>51.7%</w:t>
            </w:r>
            <w:r w:rsidRPr="004C33F6">
              <w:rPr>
                <w:rFonts w:ascii="Calibri" w:hAnsi="Calibri"/>
              </w:rPr>
              <w:t>(31)</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6</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31</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60</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8F2ED6">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Nurse and Allied Health Faculty </w:t>
            </w:r>
          </w:p>
          <w:p w:rsidR="002E419F" w:rsidRPr="004C33F6" w:rsidRDefault="002E419F" w:rsidP="008F2ED6">
            <w:pPr>
              <w:spacing w:line="240" w:lineRule="auto"/>
              <w:rPr>
                <w:rFonts w:ascii="Calibri" w:hAnsi="Calibri"/>
                <w:b/>
                <w:bCs/>
              </w:rPr>
            </w:pPr>
            <w:r w:rsidRPr="004C33F6">
              <w:rPr>
                <w:rFonts w:ascii="Calibri" w:hAnsi="Calibri"/>
                <w:b/>
                <w:bCs/>
              </w:rPr>
              <w:t xml:space="preserve">Loan Forgiveness Program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sidRPr="004C33F6">
              <w:rPr>
                <w:rFonts w:ascii="Calibri" w:hAnsi="Calibri"/>
                <w:b/>
                <w:bCs/>
              </w:rPr>
              <w:t> </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sidRPr="004C33F6">
              <w:rPr>
                <w:rFonts w:ascii="Calibri" w:hAnsi="Calibri"/>
                <w:b/>
                <w:bCs/>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 xml:space="preserve">Teaching </w:t>
            </w:r>
            <w:r>
              <w:rPr>
                <w:rFonts w:ascii="Calibri" w:hAnsi="Calibri"/>
              </w:rPr>
              <w:t xml:space="preserve">Nursing/Allied Health </w:t>
            </w:r>
            <w:r w:rsidRPr="004C33F6">
              <w:rPr>
                <w:rFonts w:ascii="Calibri" w:hAnsi="Calibri"/>
              </w:rPr>
              <w:t>in a</w:t>
            </w:r>
            <w:r>
              <w:rPr>
                <w:rFonts w:ascii="Calibri" w:hAnsi="Calibri"/>
              </w:rPr>
              <w:t xml:space="preserve"> MN</w:t>
            </w:r>
            <w:r w:rsidRPr="004C33F6">
              <w:rPr>
                <w:rFonts w:ascii="Calibri" w:hAnsi="Calibri"/>
              </w:rPr>
              <w:t xml:space="preserve"> University/College Setting</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100% (8)</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76.6% (36)</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8</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47</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bl>
    <w:p w:rsidR="005631F2" w:rsidRDefault="005631F2" w:rsidP="005631F2">
      <w:pPr>
        <w:pStyle w:val="BasicParagraph"/>
      </w:pPr>
    </w:p>
    <w:sectPr w:rsidR="005631F2" w:rsidSect="002E23D3">
      <w:type w:val="continuous"/>
      <w:pgSz w:w="12240" w:h="15840"/>
      <w:pgMar w:top="1350" w:right="720" w:bottom="720" w:left="720" w:header="720" w:footer="5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25D" w:rsidRDefault="00D0525D">
      <w:pPr>
        <w:spacing w:line="240" w:lineRule="auto"/>
      </w:pPr>
      <w:r>
        <w:separator/>
      </w:r>
    </w:p>
  </w:endnote>
  <w:endnote w:type="continuationSeparator" w:id="0">
    <w:p w:rsidR="00D0525D" w:rsidRDefault="00D0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7B6" w:rsidRPr="00F44569" w:rsidRDefault="006B559E" w:rsidP="00F44569">
    <w:pPr>
      <w:pStyle w:val="DateICLanguage"/>
    </w:pPr>
    <w:r>
      <w:t>September, 2014</w:t>
    </w:r>
  </w:p>
  <w:p w:rsidR="00EF57B6" w:rsidRDefault="006B559E" w:rsidP="00F44569">
    <w:pPr>
      <w:pStyle w:val="DateICLanguage"/>
    </w:pPr>
    <w:r>
      <w:t>Loan Forgiveness Programs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25D" w:rsidRDefault="00D0525D">
      <w:pPr>
        <w:spacing w:line="240" w:lineRule="auto"/>
      </w:pPr>
      <w:r>
        <w:separator/>
      </w:r>
    </w:p>
  </w:footnote>
  <w:footnote w:type="continuationSeparator" w:id="0">
    <w:p w:rsidR="00D0525D" w:rsidRDefault="00D0525D">
      <w:pPr>
        <w:spacing w:line="240" w:lineRule="auto"/>
      </w:pPr>
      <w:r>
        <w:continuationSeparator/>
      </w:r>
    </w:p>
  </w:footnote>
  <w:footnote w:id="1">
    <w:p w:rsidR="002F66AB" w:rsidRDefault="002F66AB">
      <w:pPr>
        <w:pStyle w:val="FootnoteText"/>
      </w:pPr>
      <w:r>
        <w:rPr>
          <w:rStyle w:val="FootnoteReference"/>
        </w:rPr>
        <w:footnoteRef/>
      </w:r>
      <w:r>
        <w:t xml:space="preserve"> </w:t>
      </w:r>
      <w:r w:rsidRPr="00A20BF6">
        <w:rPr>
          <w:sz w:val="16"/>
          <w:szCs w:val="16"/>
        </w:rPr>
        <w:t xml:space="preserve">Both evaluations are available at: </w:t>
      </w:r>
      <w:hyperlink r:id="rId1" w:history="1">
        <w:r w:rsidRPr="00A20BF6">
          <w:rPr>
            <w:rStyle w:val="Hyperlink"/>
            <w:sz w:val="16"/>
            <w:szCs w:val="16"/>
          </w:rPr>
          <w:t>http://www.health.state.mn.us/divs/orhpc/funding/loans/index.html</w:t>
        </w:r>
      </w:hyperlink>
    </w:p>
  </w:footnote>
  <w:footnote w:id="2">
    <w:p w:rsidR="002F66AB" w:rsidRDefault="002F66AB">
      <w:pPr>
        <w:pStyle w:val="FootnoteText"/>
      </w:pPr>
      <w:r>
        <w:rPr>
          <w:rStyle w:val="FootnoteReference"/>
        </w:rPr>
        <w:footnoteRef/>
      </w:r>
      <w:r>
        <w:t xml:space="preserve"> </w:t>
      </w:r>
      <w:proofErr w:type="spellStart"/>
      <w:r w:rsidRPr="00A20BF6">
        <w:rPr>
          <w:sz w:val="16"/>
          <w:szCs w:val="16"/>
        </w:rPr>
        <w:t>Pathman</w:t>
      </w:r>
      <w:proofErr w:type="spellEnd"/>
      <w:r w:rsidRPr="00A20BF6">
        <w:rPr>
          <w:sz w:val="16"/>
          <w:szCs w:val="16"/>
        </w:rPr>
        <w:t xml:space="preserve"> et al, Medical Care 2004 42: 560-568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7B6" w:rsidRDefault="006B559E" w:rsidP="00972F8B">
    <w:pPr>
      <w:pStyle w:val="Page2Title"/>
    </w:pPr>
    <w:r>
      <w:rPr>
        <w:rStyle w:val="Strong"/>
        <w:b/>
        <w:bCs w:val="0"/>
      </w:rPr>
      <w:t>Loan Forgiveness in Minnesota</w:t>
    </w:r>
    <w:r w:rsidRPr="00972F8B">
      <w:rPr>
        <w:rStyle w:val="Strong"/>
      </w:rPr>
      <w:t xml:space="preserve"> – Page </w:t>
    </w:r>
    <w:r w:rsidRPr="00722C15">
      <w:rPr>
        <w:rStyle w:val="Strong"/>
        <w:b/>
        <w:bCs w:val="0"/>
      </w:rPr>
      <w:fldChar w:fldCharType="begin"/>
    </w:r>
    <w:r w:rsidRPr="00722C15">
      <w:rPr>
        <w:rStyle w:val="Strong"/>
      </w:rPr>
      <w:instrText xml:space="preserve"> PAGE   \* MERGEFORMAT </w:instrText>
    </w:r>
    <w:r w:rsidRPr="00722C15">
      <w:rPr>
        <w:rStyle w:val="Strong"/>
        <w:b/>
        <w:bCs w:val="0"/>
      </w:rPr>
      <w:fldChar w:fldCharType="separate"/>
    </w:r>
    <w:r w:rsidR="00240A74" w:rsidRPr="00240A74">
      <w:rPr>
        <w:rStyle w:val="Strong"/>
        <w:b/>
        <w:bCs w:val="0"/>
        <w:noProof/>
      </w:rPr>
      <w:t>3</w:t>
    </w:r>
    <w:r w:rsidRPr="00722C15">
      <w:rPr>
        <w:rStyle w:val="Strong"/>
        <w:b/>
        <w:bCs w:val="0"/>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F5FEF"/>
    <w:multiLevelType w:val="hybridMultilevel"/>
    <w:tmpl w:val="40DE035E"/>
    <w:lvl w:ilvl="0" w:tplc="4D7AB5A0">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360B6"/>
    <w:multiLevelType w:val="hybridMultilevel"/>
    <w:tmpl w:val="C980BBCA"/>
    <w:lvl w:ilvl="0" w:tplc="B142D464">
      <w:start w:val="1"/>
      <w:numFmt w:val="bullet"/>
      <w:lvlText w:val="•"/>
      <w:lvlJc w:val="left"/>
      <w:pPr>
        <w:tabs>
          <w:tab w:val="num" w:pos="720"/>
        </w:tabs>
        <w:ind w:left="720" w:hanging="360"/>
      </w:pPr>
      <w:rPr>
        <w:rFonts w:ascii="Arial" w:hAnsi="Arial" w:hint="default"/>
      </w:rPr>
    </w:lvl>
    <w:lvl w:ilvl="1" w:tplc="9EEE80E8" w:tentative="1">
      <w:start w:val="1"/>
      <w:numFmt w:val="bullet"/>
      <w:lvlText w:val="•"/>
      <w:lvlJc w:val="left"/>
      <w:pPr>
        <w:tabs>
          <w:tab w:val="num" w:pos="1440"/>
        </w:tabs>
        <w:ind w:left="1440" w:hanging="360"/>
      </w:pPr>
      <w:rPr>
        <w:rFonts w:ascii="Arial" w:hAnsi="Arial" w:hint="default"/>
      </w:rPr>
    </w:lvl>
    <w:lvl w:ilvl="2" w:tplc="D19A9A38" w:tentative="1">
      <w:start w:val="1"/>
      <w:numFmt w:val="bullet"/>
      <w:lvlText w:val="•"/>
      <w:lvlJc w:val="left"/>
      <w:pPr>
        <w:tabs>
          <w:tab w:val="num" w:pos="2160"/>
        </w:tabs>
        <w:ind w:left="2160" w:hanging="360"/>
      </w:pPr>
      <w:rPr>
        <w:rFonts w:ascii="Arial" w:hAnsi="Arial" w:hint="default"/>
      </w:rPr>
    </w:lvl>
    <w:lvl w:ilvl="3" w:tplc="CF3256A2" w:tentative="1">
      <w:start w:val="1"/>
      <w:numFmt w:val="bullet"/>
      <w:lvlText w:val="•"/>
      <w:lvlJc w:val="left"/>
      <w:pPr>
        <w:tabs>
          <w:tab w:val="num" w:pos="2880"/>
        </w:tabs>
        <w:ind w:left="2880" w:hanging="360"/>
      </w:pPr>
      <w:rPr>
        <w:rFonts w:ascii="Arial" w:hAnsi="Arial" w:hint="default"/>
      </w:rPr>
    </w:lvl>
    <w:lvl w:ilvl="4" w:tplc="DDBE7616" w:tentative="1">
      <w:start w:val="1"/>
      <w:numFmt w:val="bullet"/>
      <w:lvlText w:val="•"/>
      <w:lvlJc w:val="left"/>
      <w:pPr>
        <w:tabs>
          <w:tab w:val="num" w:pos="3600"/>
        </w:tabs>
        <w:ind w:left="3600" w:hanging="360"/>
      </w:pPr>
      <w:rPr>
        <w:rFonts w:ascii="Arial" w:hAnsi="Arial" w:hint="default"/>
      </w:rPr>
    </w:lvl>
    <w:lvl w:ilvl="5" w:tplc="A6D4B668" w:tentative="1">
      <w:start w:val="1"/>
      <w:numFmt w:val="bullet"/>
      <w:lvlText w:val="•"/>
      <w:lvlJc w:val="left"/>
      <w:pPr>
        <w:tabs>
          <w:tab w:val="num" w:pos="4320"/>
        </w:tabs>
        <w:ind w:left="4320" w:hanging="360"/>
      </w:pPr>
      <w:rPr>
        <w:rFonts w:ascii="Arial" w:hAnsi="Arial" w:hint="default"/>
      </w:rPr>
    </w:lvl>
    <w:lvl w:ilvl="6" w:tplc="5C64FB82" w:tentative="1">
      <w:start w:val="1"/>
      <w:numFmt w:val="bullet"/>
      <w:lvlText w:val="•"/>
      <w:lvlJc w:val="left"/>
      <w:pPr>
        <w:tabs>
          <w:tab w:val="num" w:pos="5040"/>
        </w:tabs>
        <w:ind w:left="5040" w:hanging="360"/>
      </w:pPr>
      <w:rPr>
        <w:rFonts w:ascii="Arial" w:hAnsi="Arial" w:hint="default"/>
      </w:rPr>
    </w:lvl>
    <w:lvl w:ilvl="7" w:tplc="6EAE7AF2" w:tentative="1">
      <w:start w:val="1"/>
      <w:numFmt w:val="bullet"/>
      <w:lvlText w:val="•"/>
      <w:lvlJc w:val="left"/>
      <w:pPr>
        <w:tabs>
          <w:tab w:val="num" w:pos="5760"/>
        </w:tabs>
        <w:ind w:left="5760" w:hanging="360"/>
      </w:pPr>
      <w:rPr>
        <w:rFonts w:ascii="Arial" w:hAnsi="Arial" w:hint="default"/>
      </w:rPr>
    </w:lvl>
    <w:lvl w:ilvl="8" w:tplc="11E628CA" w:tentative="1">
      <w:start w:val="1"/>
      <w:numFmt w:val="bullet"/>
      <w:lvlText w:val="•"/>
      <w:lvlJc w:val="left"/>
      <w:pPr>
        <w:tabs>
          <w:tab w:val="num" w:pos="6480"/>
        </w:tabs>
        <w:ind w:left="6480" w:hanging="360"/>
      </w:pPr>
      <w:rPr>
        <w:rFonts w:ascii="Arial" w:hAnsi="Arial" w:hint="default"/>
      </w:rPr>
    </w:lvl>
  </w:abstractNum>
  <w:abstractNum w:abstractNumId="2">
    <w:nsid w:val="19F1696D"/>
    <w:multiLevelType w:val="hybridMultilevel"/>
    <w:tmpl w:val="968E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231AC"/>
    <w:multiLevelType w:val="hybridMultilevel"/>
    <w:tmpl w:val="9B4AD1E8"/>
    <w:lvl w:ilvl="0" w:tplc="39B4364A">
      <w:start w:val="1"/>
      <w:numFmt w:val="bullet"/>
      <w:lvlText w:val="•"/>
      <w:lvlJc w:val="left"/>
      <w:pPr>
        <w:tabs>
          <w:tab w:val="num" w:pos="720"/>
        </w:tabs>
        <w:ind w:left="720" w:hanging="360"/>
      </w:pPr>
      <w:rPr>
        <w:rFonts w:ascii="Arial" w:hAnsi="Arial" w:hint="default"/>
      </w:rPr>
    </w:lvl>
    <w:lvl w:ilvl="1" w:tplc="47D08AEA" w:tentative="1">
      <w:start w:val="1"/>
      <w:numFmt w:val="bullet"/>
      <w:lvlText w:val="•"/>
      <w:lvlJc w:val="left"/>
      <w:pPr>
        <w:tabs>
          <w:tab w:val="num" w:pos="1440"/>
        </w:tabs>
        <w:ind w:left="1440" w:hanging="360"/>
      </w:pPr>
      <w:rPr>
        <w:rFonts w:ascii="Arial" w:hAnsi="Arial" w:hint="default"/>
      </w:rPr>
    </w:lvl>
    <w:lvl w:ilvl="2" w:tplc="C6683EB8" w:tentative="1">
      <w:start w:val="1"/>
      <w:numFmt w:val="bullet"/>
      <w:lvlText w:val="•"/>
      <w:lvlJc w:val="left"/>
      <w:pPr>
        <w:tabs>
          <w:tab w:val="num" w:pos="2160"/>
        </w:tabs>
        <w:ind w:left="2160" w:hanging="360"/>
      </w:pPr>
      <w:rPr>
        <w:rFonts w:ascii="Arial" w:hAnsi="Arial" w:hint="default"/>
      </w:rPr>
    </w:lvl>
    <w:lvl w:ilvl="3" w:tplc="7842FBBA" w:tentative="1">
      <w:start w:val="1"/>
      <w:numFmt w:val="bullet"/>
      <w:lvlText w:val="•"/>
      <w:lvlJc w:val="left"/>
      <w:pPr>
        <w:tabs>
          <w:tab w:val="num" w:pos="2880"/>
        </w:tabs>
        <w:ind w:left="2880" w:hanging="360"/>
      </w:pPr>
      <w:rPr>
        <w:rFonts w:ascii="Arial" w:hAnsi="Arial" w:hint="default"/>
      </w:rPr>
    </w:lvl>
    <w:lvl w:ilvl="4" w:tplc="AF84FAA4" w:tentative="1">
      <w:start w:val="1"/>
      <w:numFmt w:val="bullet"/>
      <w:lvlText w:val="•"/>
      <w:lvlJc w:val="left"/>
      <w:pPr>
        <w:tabs>
          <w:tab w:val="num" w:pos="3600"/>
        </w:tabs>
        <w:ind w:left="3600" w:hanging="360"/>
      </w:pPr>
      <w:rPr>
        <w:rFonts w:ascii="Arial" w:hAnsi="Arial" w:hint="default"/>
      </w:rPr>
    </w:lvl>
    <w:lvl w:ilvl="5" w:tplc="23EC6EFE" w:tentative="1">
      <w:start w:val="1"/>
      <w:numFmt w:val="bullet"/>
      <w:lvlText w:val="•"/>
      <w:lvlJc w:val="left"/>
      <w:pPr>
        <w:tabs>
          <w:tab w:val="num" w:pos="4320"/>
        </w:tabs>
        <w:ind w:left="4320" w:hanging="360"/>
      </w:pPr>
      <w:rPr>
        <w:rFonts w:ascii="Arial" w:hAnsi="Arial" w:hint="default"/>
      </w:rPr>
    </w:lvl>
    <w:lvl w:ilvl="6" w:tplc="65F625F8" w:tentative="1">
      <w:start w:val="1"/>
      <w:numFmt w:val="bullet"/>
      <w:lvlText w:val="•"/>
      <w:lvlJc w:val="left"/>
      <w:pPr>
        <w:tabs>
          <w:tab w:val="num" w:pos="5040"/>
        </w:tabs>
        <w:ind w:left="5040" w:hanging="360"/>
      </w:pPr>
      <w:rPr>
        <w:rFonts w:ascii="Arial" w:hAnsi="Arial" w:hint="default"/>
      </w:rPr>
    </w:lvl>
    <w:lvl w:ilvl="7" w:tplc="236416DE" w:tentative="1">
      <w:start w:val="1"/>
      <w:numFmt w:val="bullet"/>
      <w:lvlText w:val="•"/>
      <w:lvlJc w:val="left"/>
      <w:pPr>
        <w:tabs>
          <w:tab w:val="num" w:pos="5760"/>
        </w:tabs>
        <w:ind w:left="5760" w:hanging="360"/>
      </w:pPr>
      <w:rPr>
        <w:rFonts w:ascii="Arial" w:hAnsi="Arial" w:hint="default"/>
      </w:rPr>
    </w:lvl>
    <w:lvl w:ilvl="8" w:tplc="8D625900" w:tentative="1">
      <w:start w:val="1"/>
      <w:numFmt w:val="bullet"/>
      <w:lvlText w:val="•"/>
      <w:lvlJc w:val="left"/>
      <w:pPr>
        <w:tabs>
          <w:tab w:val="num" w:pos="6480"/>
        </w:tabs>
        <w:ind w:left="6480" w:hanging="360"/>
      </w:pPr>
      <w:rPr>
        <w:rFonts w:ascii="Arial" w:hAnsi="Arial" w:hint="default"/>
      </w:rPr>
    </w:lvl>
  </w:abstractNum>
  <w:abstractNum w:abstractNumId="4">
    <w:nsid w:val="4A0A3549"/>
    <w:multiLevelType w:val="hybridMultilevel"/>
    <w:tmpl w:val="CE368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876D49"/>
    <w:multiLevelType w:val="hybridMultilevel"/>
    <w:tmpl w:val="CCB490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F2"/>
    <w:rsid w:val="000B3000"/>
    <w:rsid w:val="001732E6"/>
    <w:rsid w:val="002304FF"/>
    <w:rsid w:val="00240A74"/>
    <w:rsid w:val="0025463B"/>
    <w:rsid w:val="002E23D3"/>
    <w:rsid w:val="002E419F"/>
    <w:rsid w:val="002F66AB"/>
    <w:rsid w:val="005631F2"/>
    <w:rsid w:val="006126B4"/>
    <w:rsid w:val="006A3886"/>
    <w:rsid w:val="006A494D"/>
    <w:rsid w:val="006B559E"/>
    <w:rsid w:val="008B1B7E"/>
    <w:rsid w:val="008D48BD"/>
    <w:rsid w:val="008E3E0B"/>
    <w:rsid w:val="00946493"/>
    <w:rsid w:val="00B1724D"/>
    <w:rsid w:val="00B853F9"/>
    <w:rsid w:val="00D0525D"/>
    <w:rsid w:val="00D35096"/>
    <w:rsid w:val="00FE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3E7E2-8EDA-4EA6-B64C-8B3F271E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F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5631F2"/>
    <w:pPr>
      <w:keepNext/>
      <w:keepLines/>
      <w:outlineLvl w:val="0"/>
    </w:pPr>
    <w:rPr>
      <w:rFonts w:eastAsiaTheme="majorEastAsia" w:cstheme="majorBidi"/>
      <w:bCs/>
      <w:noProof/>
      <w:sz w:val="56"/>
      <w:szCs w:val="28"/>
    </w:rPr>
  </w:style>
  <w:style w:type="paragraph" w:styleId="Heading2">
    <w:name w:val="heading 2"/>
    <w:basedOn w:val="Normal"/>
    <w:next w:val="Normal"/>
    <w:link w:val="Heading2Char"/>
    <w:unhideWhenUsed/>
    <w:qFormat/>
    <w:rsid w:val="005631F2"/>
    <w:pPr>
      <w:keepNext/>
      <w:keepLines/>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1F2"/>
    <w:rPr>
      <w:rFonts w:ascii="Times New Roman" w:eastAsiaTheme="majorEastAsia" w:hAnsi="Times New Roman" w:cstheme="majorBidi"/>
      <w:bCs/>
      <w:noProof/>
      <w:color w:val="000000"/>
      <w:sz w:val="56"/>
      <w:szCs w:val="28"/>
    </w:rPr>
  </w:style>
  <w:style w:type="character" w:customStyle="1" w:styleId="Heading2Char">
    <w:name w:val="Heading 2 Char"/>
    <w:basedOn w:val="DefaultParagraphFont"/>
    <w:link w:val="Heading2"/>
    <w:rsid w:val="005631F2"/>
    <w:rPr>
      <w:rFonts w:ascii="Arial" w:eastAsiaTheme="majorEastAsia" w:hAnsi="Arial" w:cstheme="majorBidi"/>
      <w:b/>
      <w:bCs/>
      <w:color w:val="000000"/>
      <w:sz w:val="24"/>
      <w:szCs w:val="26"/>
    </w:rPr>
  </w:style>
  <w:style w:type="paragraph" w:customStyle="1" w:styleId="BasicParagraph">
    <w:name w:val="[Basic Paragraph]"/>
    <w:basedOn w:val="Normal"/>
    <w:link w:val="BasicParagraphChar"/>
    <w:uiPriority w:val="99"/>
    <w:rsid w:val="005631F2"/>
  </w:style>
  <w:style w:type="paragraph" w:customStyle="1" w:styleId="Addressblock">
    <w:name w:val="Address block"/>
    <w:basedOn w:val="Normal"/>
    <w:link w:val="AddressblockChar"/>
    <w:qFormat/>
    <w:rsid w:val="005631F2"/>
    <w:pPr>
      <w:pBdr>
        <w:bottom w:val="single" w:sz="4" w:space="1" w:color="1F497D" w:themeColor="text2"/>
      </w:pBdr>
    </w:pPr>
    <w:rPr>
      <w:sz w:val="20"/>
      <w:szCs w:val="20"/>
    </w:rPr>
  </w:style>
  <w:style w:type="character" w:customStyle="1" w:styleId="BasicParagraphChar">
    <w:name w:val="[Basic Paragraph] Char"/>
    <w:basedOn w:val="DefaultParagraphFont"/>
    <w:link w:val="BasicParagraph"/>
    <w:uiPriority w:val="99"/>
    <w:rsid w:val="005631F2"/>
    <w:rPr>
      <w:rFonts w:ascii="Times New Roman" w:eastAsia="Times New Roman" w:hAnsi="Times New Roman" w:cs="Times New Roman"/>
      <w:color w:val="000000"/>
      <w:sz w:val="24"/>
      <w:szCs w:val="24"/>
    </w:rPr>
  </w:style>
  <w:style w:type="character" w:customStyle="1" w:styleId="AddressblockChar">
    <w:name w:val="Address block Char"/>
    <w:basedOn w:val="BasicParagraphChar"/>
    <w:link w:val="Addressblock"/>
    <w:rsid w:val="005631F2"/>
    <w:rPr>
      <w:rFonts w:ascii="Times New Roman" w:eastAsia="Times New Roman" w:hAnsi="Times New Roman" w:cs="Times New Roman"/>
      <w:color w:val="000000"/>
      <w:sz w:val="20"/>
      <w:szCs w:val="20"/>
    </w:rPr>
  </w:style>
  <w:style w:type="character" w:styleId="Strong">
    <w:name w:val="Strong"/>
    <w:basedOn w:val="DefaultParagraphFont"/>
    <w:qFormat/>
    <w:rsid w:val="005631F2"/>
    <w:rPr>
      <w:b/>
      <w:bCs/>
      <w:sz w:val="28"/>
      <w:szCs w:val="28"/>
    </w:rPr>
  </w:style>
  <w:style w:type="paragraph" w:customStyle="1" w:styleId="DateICLanguage">
    <w:name w:val="Date/IC/Language"/>
    <w:basedOn w:val="Footer"/>
    <w:link w:val="DateICLanguageChar"/>
    <w:qFormat/>
    <w:rsid w:val="005631F2"/>
    <w:pPr>
      <w:jc w:val="right"/>
    </w:pPr>
    <w:rPr>
      <w:sz w:val="20"/>
      <w:szCs w:val="20"/>
    </w:rPr>
  </w:style>
  <w:style w:type="character" w:customStyle="1" w:styleId="DateICLanguageChar">
    <w:name w:val="Date/IC/Language Char"/>
    <w:basedOn w:val="FooterChar"/>
    <w:link w:val="DateICLanguage"/>
    <w:rsid w:val="005631F2"/>
    <w:rPr>
      <w:rFonts w:ascii="Times New Roman" w:eastAsia="Times New Roman" w:hAnsi="Times New Roman" w:cs="Times New Roman"/>
      <w:color w:val="000000"/>
      <w:sz w:val="20"/>
      <w:szCs w:val="20"/>
    </w:rPr>
  </w:style>
  <w:style w:type="paragraph" w:customStyle="1" w:styleId="Page2Title">
    <w:name w:val="Page 2 Title"/>
    <w:basedOn w:val="Header"/>
    <w:link w:val="Page2TitleChar"/>
    <w:rsid w:val="005631F2"/>
    <w:pPr>
      <w:pBdr>
        <w:bottom w:val="single" w:sz="4" w:space="1" w:color="1F497D" w:themeColor="text2"/>
      </w:pBdr>
    </w:pPr>
    <w:rPr>
      <w:b/>
      <w:sz w:val="28"/>
    </w:rPr>
  </w:style>
  <w:style w:type="character" w:customStyle="1" w:styleId="Page2TitleChar">
    <w:name w:val="Page 2 Title Char"/>
    <w:basedOn w:val="HeaderChar"/>
    <w:link w:val="Page2Title"/>
    <w:rsid w:val="005631F2"/>
    <w:rPr>
      <w:rFonts w:ascii="Times New Roman" w:eastAsia="Times New Roman" w:hAnsi="Times New Roman" w:cs="Times New Roman"/>
      <w:b/>
      <w:color w:val="000000"/>
      <w:sz w:val="28"/>
      <w:szCs w:val="24"/>
    </w:rPr>
  </w:style>
  <w:style w:type="paragraph" w:styleId="ListParagraph">
    <w:name w:val="List Paragraph"/>
    <w:basedOn w:val="Normal"/>
    <w:uiPriority w:val="34"/>
    <w:qFormat/>
    <w:rsid w:val="005631F2"/>
    <w:pPr>
      <w:ind w:left="720"/>
      <w:contextualSpacing/>
    </w:pPr>
  </w:style>
  <w:style w:type="paragraph" w:styleId="Footer">
    <w:name w:val="footer"/>
    <w:basedOn w:val="Normal"/>
    <w:link w:val="FooterChar"/>
    <w:uiPriority w:val="99"/>
    <w:semiHidden/>
    <w:unhideWhenUsed/>
    <w:rsid w:val="005631F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631F2"/>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5631F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631F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631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1F2"/>
    <w:rPr>
      <w:rFonts w:ascii="Tahoma" w:eastAsia="Times New Roman" w:hAnsi="Tahoma" w:cs="Tahoma"/>
      <w:color w:val="000000"/>
      <w:sz w:val="16"/>
      <w:szCs w:val="16"/>
    </w:rPr>
  </w:style>
  <w:style w:type="character" w:styleId="Hyperlink">
    <w:name w:val="Hyperlink"/>
    <w:basedOn w:val="DefaultParagraphFont"/>
    <w:uiPriority w:val="99"/>
    <w:unhideWhenUsed/>
    <w:rsid w:val="008E3E0B"/>
    <w:rPr>
      <w:color w:val="0000FF" w:themeColor="hyperlink"/>
      <w:u w:val="single"/>
    </w:rPr>
  </w:style>
  <w:style w:type="table" w:styleId="TableGrid">
    <w:name w:val="Table Grid"/>
    <w:basedOn w:val="TableNormal"/>
    <w:uiPriority w:val="59"/>
    <w:rsid w:val="0061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53F9"/>
    <w:pPr>
      <w:spacing w:line="240" w:lineRule="auto"/>
    </w:pPr>
    <w:rPr>
      <w:sz w:val="20"/>
      <w:szCs w:val="20"/>
    </w:rPr>
  </w:style>
  <w:style w:type="character" w:customStyle="1" w:styleId="FootnoteTextChar">
    <w:name w:val="Footnote Text Char"/>
    <w:basedOn w:val="DefaultParagraphFont"/>
    <w:link w:val="FootnoteText"/>
    <w:uiPriority w:val="99"/>
    <w:semiHidden/>
    <w:rsid w:val="00B853F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853F9"/>
    <w:rPr>
      <w:vertAlign w:val="superscript"/>
    </w:rPr>
  </w:style>
  <w:style w:type="paragraph" w:styleId="NormalWeb">
    <w:name w:val="Normal (Web)"/>
    <w:basedOn w:val="Normal"/>
    <w:uiPriority w:val="99"/>
    <w:semiHidden/>
    <w:unhideWhenUsed/>
    <w:rsid w:val="00B853F9"/>
    <w:pPr>
      <w:autoSpaceDE/>
      <w:autoSpaceDN/>
      <w:adjustRightInd/>
      <w:spacing w:before="100" w:beforeAutospacing="1" w:after="100" w:afterAutospacing="1" w:line="240" w:lineRule="auto"/>
      <w:textAlignment w:val="auto"/>
    </w:pPr>
    <w:rPr>
      <w:color w:val="auto"/>
    </w:rPr>
  </w:style>
  <w:style w:type="paragraph" w:styleId="EndnoteText">
    <w:name w:val="endnote text"/>
    <w:basedOn w:val="Normal"/>
    <w:link w:val="EndnoteTextChar"/>
    <w:uiPriority w:val="99"/>
    <w:semiHidden/>
    <w:unhideWhenUsed/>
    <w:rsid w:val="002F66AB"/>
    <w:pPr>
      <w:spacing w:line="240" w:lineRule="auto"/>
    </w:pPr>
    <w:rPr>
      <w:sz w:val="20"/>
      <w:szCs w:val="20"/>
    </w:rPr>
  </w:style>
  <w:style w:type="character" w:customStyle="1" w:styleId="EndnoteTextChar">
    <w:name w:val="Endnote Text Char"/>
    <w:basedOn w:val="DefaultParagraphFont"/>
    <w:link w:val="EndnoteText"/>
    <w:uiPriority w:val="99"/>
    <w:semiHidden/>
    <w:rsid w:val="002F66AB"/>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F6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226">
      <w:bodyDiv w:val="1"/>
      <w:marLeft w:val="0"/>
      <w:marRight w:val="0"/>
      <w:marTop w:val="0"/>
      <w:marBottom w:val="0"/>
      <w:divBdr>
        <w:top w:val="none" w:sz="0" w:space="0" w:color="auto"/>
        <w:left w:val="none" w:sz="0" w:space="0" w:color="auto"/>
        <w:bottom w:val="none" w:sz="0" w:space="0" w:color="auto"/>
        <w:right w:val="none" w:sz="0" w:space="0" w:color="auto"/>
      </w:divBdr>
    </w:div>
    <w:div w:id="259795618">
      <w:bodyDiv w:val="1"/>
      <w:marLeft w:val="0"/>
      <w:marRight w:val="0"/>
      <w:marTop w:val="0"/>
      <w:marBottom w:val="0"/>
      <w:divBdr>
        <w:top w:val="none" w:sz="0" w:space="0" w:color="auto"/>
        <w:left w:val="none" w:sz="0" w:space="0" w:color="auto"/>
        <w:bottom w:val="none" w:sz="0" w:space="0" w:color="auto"/>
        <w:right w:val="none" w:sz="0" w:space="0" w:color="auto"/>
      </w:divBdr>
    </w:div>
    <w:div w:id="1037581558">
      <w:bodyDiv w:val="1"/>
      <w:marLeft w:val="0"/>
      <w:marRight w:val="0"/>
      <w:marTop w:val="0"/>
      <w:marBottom w:val="0"/>
      <w:divBdr>
        <w:top w:val="none" w:sz="0" w:space="0" w:color="auto"/>
        <w:left w:val="none" w:sz="0" w:space="0" w:color="auto"/>
        <w:bottom w:val="none" w:sz="0" w:space="0" w:color="auto"/>
        <w:right w:val="none" w:sz="0" w:space="0" w:color="auto"/>
      </w:divBdr>
      <w:divsChild>
        <w:div w:id="769395734">
          <w:marLeft w:val="360"/>
          <w:marRight w:val="0"/>
          <w:marTop w:val="200"/>
          <w:marBottom w:val="0"/>
          <w:divBdr>
            <w:top w:val="none" w:sz="0" w:space="0" w:color="auto"/>
            <w:left w:val="none" w:sz="0" w:space="0" w:color="auto"/>
            <w:bottom w:val="none" w:sz="0" w:space="0" w:color="auto"/>
            <w:right w:val="none" w:sz="0" w:space="0" w:color="auto"/>
          </w:divBdr>
        </w:div>
      </w:divsChild>
    </w:div>
    <w:div w:id="1441757347">
      <w:bodyDiv w:val="1"/>
      <w:marLeft w:val="0"/>
      <w:marRight w:val="0"/>
      <w:marTop w:val="0"/>
      <w:marBottom w:val="0"/>
      <w:divBdr>
        <w:top w:val="none" w:sz="0" w:space="0" w:color="auto"/>
        <w:left w:val="none" w:sz="0" w:space="0" w:color="auto"/>
        <w:bottom w:val="none" w:sz="0" w:space="0" w:color="auto"/>
        <w:right w:val="none" w:sz="0" w:space="0" w:color="auto"/>
      </w:divBdr>
      <w:divsChild>
        <w:div w:id="2003770596">
          <w:marLeft w:val="360"/>
          <w:marRight w:val="0"/>
          <w:marTop w:val="200"/>
          <w:marBottom w:val="0"/>
          <w:divBdr>
            <w:top w:val="none" w:sz="0" w:space="0" w:color="auto"/>
            <w:left w:val="none" w:sz="0" w:space="0" w:color="auto"/>
            <w:bottom w:val="none" w:sz="0" w:space="0" w:color="auto"/>
            <w:right w:val="none" w:sz="0" w:space="0" w:color="auto"/>
          </w:divBdr>
        </w:div>
      </w:divsChild>
    </w:div>
    <w:div w:id="17148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state.mn.us/divs/orhpc/funding/loa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8FDD-F27A-4E39-B25E-75E7ECA2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IT</dc:creator>
  <cp:lastModifiedBy>Mark Schoenbaum</cp:lastModifiedBy>
  <cp:revision>2</cp:revision>
  <dcterms:created xsi:type="dcterms:W3CDTF">2015-01-30T13:24:00Z</dcterms:created>
  <dcterms:modified xsi:type="dcterms:W3CDTF">2015-01-30T13:24:00Z</dcterms:modified>
</cp:coreProperties>
</file>