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BC" w:rsidRPr="00C32C6D" w:rsidRDefault="00092E81" w:rsidP="00EF43DC">
      <w:pPr>
        <w:rPr>
          <w:sz w:val="32"/>
          <w:szCs w:val="32"/>
        </w:rPr>
      </w:pPr>
      <w:r w:rsidRPr="00C32C6D">
        <w:rPr>
          <w:sz w:val="32"/>
          <w:szCs w:val="32"/>
        </w:rPr>
        <w:t>C</w:t>
      </w:r>
      <w:r w:rsidR="00C32C6D" w:rsidRPr="00C32C6D">
        <w:rPr>
          <w:sz w:val="32"/>
          <w:szCs w:val="32"/>
        </w:rPr>
        <w:t>omparison</w:t>
      </w:r>
      <w:r w:rsidRPr="00C32C6D">
        <w:rPr>
          <w:sz w:val="32"/>
          <w:szCs w:val="32"/>
        </w:rPr>
        <w:t xml:space="preserve"> for H. F. No. 3142, second engrossment/ H. F. No. 3142, first unofficial engrossment</w:t>
      </w:r>
    </w:p>
    <w:p w:rsidR="00C32C6D" w:rsidRDefault="00C32C6D" w:rsidP="00EF43DC"/>
    <w:p w:rsidR="00092E81" w:rsidRDefault="00092E81" w:rsidP="00EF43DC">
      <w:pPr>
        <w:rPr>
          <w:sz w:val="20"/>
          <w:szCs w:val="20"/>
        </w:rPr>
      </w:pPr>
      <w:r w:rsidRPr="00C32C6D">
        <w:rPr>
          <w:sz w:val="20"/>
          <w:szCs w:val="20"/>
        </w:rPr>
        <w:t>Prepared by Senate Counsel, Research, and Fiscal Analysis and House Research</w:t>
      </w:r>
    </w:p>
    <w:p w:rsidR="000A0CBD" w:rsidRPr="00C32C6D" w:rsidRDefault="000A0CBD" w:rsidP="000A0CBD">
      <w:pPr>
        <w:rPr>
          <w:sz w:val="20"/>
          <w:szCs w:val="20"/>
        </w:rPr>
      </w:pPr>
      <w:r w:rsidRPr="00C32C6D">
        <w:rPr>
          <w:sz w:val="20"/>
          <w:szCs w:val="20"/>
        </w:rPr>
        <w:t>May 19, 2016</w:t>
      </w:r>
    </w:p>
    <w:p w:rsidR="000A0CBD" w:rsidRPr="00C32C6D" w:rsidRDefault="000A0CBD" w:rsidP="00EF43DC">
      <w:pPr>
        <w:rPr>
          <w:sz w:val="20"/>
          <w:szCs w:val="20"/>
        </w:rPr>
      </w:pPr>
    </w:p>
    <w:p w:rsidR="00092E81" w:rsidRDefault="00092E81" w:rsidP="00EF43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3960"/>
        <w:gridCol w:w="2695"/>
      </w:tblGrid>
      <w:tr w:rsidR="00092E81" w:rsidTr="006E4C26">
        <w:tc>
          <w:tcPr>
            <w:tcW w:w="1345" w:type="dxa"/>
            <w:shd w:val="clear" w:color="auto" w:fill="D9D9D9" w:themeFill="background1" w:themeFillShade="D9"/>
          </w:tcPr>
          <w:p w:rsidR="00092E81" w:rsidRPr="00C97480" w:rsidRDefault="00092E81" w:rsidP="00EF43DC">
            <w:pPr>
              <w:rPr>
                <w:b/>
              </w:rPr>
            </w:pPr>
            <w:r w:rsidRPr="00C97480">
              <w:rPr>
                <w:b/>
              </w:rPr>
              <w:t>House sec.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092E81" w:rsidRPr="00C97480" w:rsidRDefault="00092E81" w:rsidP="00EF43DC">
            <w:pPr>
              <w:rPr>
                <w:b/>
              </w:rPr>
            </w:pPr>
            <w:r w:rsidRPr="00C97480">
              <w:rPr>
                <w:b/>
              </w:rPr>
              <w:t>Senate sec.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092E81" w:rsidRPr="00C97480" w:rsidRDefault="00092E81" w:rsidP="00EF43DC">
            <w:pPr>
              <w:rPr>
                <w:b/>
              </w:rPr>
            </w:pPr>
            <w:r w:rsidRPr="00C97480">
              <w:rPr>
                <w:b/>
              </w:rPr>
              <w:t>Topic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092E81" w:rsidRPr="00C97480" w:rsidRDefault="00092E81" w:rsidP="00EF43DC">
            <w:pPr>
              <w:rPr>
                <w:b/>
              </w:rPr>
            </w:pPr>
            <w:r w:rsidRPr="00C97480">
              <w:rPr>
                <w:b/>
              </w:rPr>
              <w:t>Comparison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/>
        </w:tc>
        <w:tc>
          <w:tcPr>
            <w:tcW w:w="1350" w:type="dxa"/>
          </w:tcPr>
          <w:p w:rsidR="00092E81" w:rsidRDefault="00092E81" w:rsidP="00EF43DC">
            <w:r>
              <w:t>1</w:t>
            </w:r>
          </w:p>
        </w:tc>
        <w:tc>
          <w:tcPr>
            <w:tcW w:w="3960" w:type="dxa"/>
          </w:tcPr>
          <w:p w:rsidR="00092E81" w:rsidRDefault="006E4C26" w:rsidP="000D02B2">
            <w:r>
              <w:t>Provider network changes must be made on health carriers’ web sites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092E81" w:rsidP="00EF43DC">
            <w:r>
              <w:t>Senate only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/>
        </w:tc>
        <w:tc>
          <w:tcPr>
            <w:tcW w:w="1350" w:type="dxa"/>
          </w:tcPr>
          <w:p w:rsidR="00092E81" w:rsidRDefault="00092E81" w:rsidP="00EF43DC">
            <w:r>
              <w:t>2</w:t>
            </w:r>
          </w:p>
        </w:tc>
        <w:tc>
          <w:tcPr>
            <w:tcW w:w="3960" w:type="dxa"/>
          </w:tcPr>
          <w:p w:rsidR="00092E81" w:rsidRDefault="006E4C26" w:rsidP="000D02B2">
            <w:r>
              <w:t xml:space="preserve">Permits MDH to </w:t>
            </w:r>
            <w:r w:rsidR="00092E81">
              <w:t>use of all-payer claims data</w:t>
            </w:r>
            <w:r>
              <w:t xml:space="preserve"> for specified purposes until July 1, 2019 (extends date for three years)</w:t>
            </w:r>
            <w:r w:rsidR="00092E81">
              <w:t xml:space="preserve"> 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092E81" w:rsidP="00EF43DC">
            <w:r>
              <w:t>Senate only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>
            <w:r>
              <w:t>1</w:t>
            </w:r>
          </w:p>
        </w:tc>
        <w:tc>
          <w:tcPr>
            <w:tcW w:w="1350" w:type="dxa"/>
          </w:tcPr>
          <w:p w:rsidR="00092E81" w:rsidRDefault="00092E81" w:rsidP="00EF43DC">
            <w:r>
              <w:t>3</w:t>
            </w:r>
          </w:p>
        </w:tc>
        <w:tc>
          <w:tcPr>
            <w:tcW w:w="3960" w:type="dxa"/>
          </w:tcPr>
          <w:p w:rsidR="00575CE1" w:rsidRDefault="00092E81" w:rsidP="000D02B2">
            <w:r>
              <w:t xml:space="preserve">Level IV </w:t>
            </w:r>
            <w:r w:rsidR="00AE08CC">
              <w:t xml:space="preserve">trauma hospital </w:t>
            </w:r>
            <w:r>
              <w:t>designation</w:t>
            </w:r>
          </w:p>
          <w:p w:rsidR="00092E81" w:rsidRDefault="00092E81" w:rsidP="000D02B2">
            <w:r>
              <w:t xml:space="preserve"> </w:t>
            </w:r>
          </w:p>
        </w:tc>
        <w:tc>
          <w:tcPr>
            <w:tcW w:w="2695" w:type="dxa"/>
          </w:tcPr>
          <w:p w:rsidR="00092E81" w:rsidRDefault="00092E81" w:rsidP="00EF43DC">
            <w:r>
              <w:t>Identical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>
            <w:r>
              <w:t>2</w:t>
            </w:r>
          </w:p>
        </w:tc>
        <w:tc>
          <w:tcPr>
            <w:tcW w:w="1350" w:type="dxa"/>
          </w:tcPr>
          <w:p w:rsidR="00092E81" w:rsidRDefault="00092E81" w:rsidP="00EF43DC">
            <w:r>
              <w:t>4</w:t>
            </w:r>
          </w:p>
        </w:tc>
        <w:tc>
          <w:tcPr>
            <w:tcW w:w="3960" w:type="dxa"/>
          </w:tcPr>
          <w:p w:rsidR="00092E81" w:rsidRDefault="00092E81" w:rsidP="000D02B2">
            <w:r>
              <w:t xml:space="preserve">Trauma advisory council established 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092E81" w:rsidP="00EF43DC">
            <w:r>
              <w:t>Identical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>
            <w:r>
              <w:t>3</w:t>
            </w:r>
          </w:p>
        </w:tc>
        <w:tc>
          <w:tcPr>
            <w:tcW w:w="1350" w:type="dxa"/>
          </w:tcPr>
          <w:p w:rsidR="00092E81" w:rsidRDefault="00092E81" w:rsidP="00EF43DC">
            <w:r>
              <w:t>5</w:t>
            </w:r>
          </w:p>
        </w:tc>
        <w:tc>
          <w:tcPr>
            <w:tcW w:w="3960" w:type="dxa"/>
          </w:tcPr>
          <w:p w:rsidR="00092E81" w:rsidRDefault="00092E81" w:rsidP="000D02B2">
            <w:r>
              <w:t xml:space="preserve">Zika preparedness and response 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092E81" w:rsidP="00EF43DC">
            <w:r>
              <w:t>Identical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>
            <w:r>
              <w:t>4</w:t>
            </w:r>
          </w:p>
        </w:tc>
        <w:tc>
          <w:tcPr>
            <w:tcW w:w="1350" w:type="dxa"/>
          </w:tcPr>
          <w:p w:rsidR="00092E81" w:rsidRDefault="00092E81" w:rsidP="00EF43DC">
            <w:r>
              <w:t>6</w:t>
            </w:r>
          </w:p>
        </w:tc>
        <w:tc>
          <w:tcPr>
            <w:tcW w:w="3960" w:type="dxa"/>
          </w:tcPr>
          <w:p w:rsidR="00092E81" w:rsidRDefault="000A0CBD" w:rsidP="000D02B2">
            <w:r>
              <w:t xml:space="preserve">Temporary license for </w:t>
            </w:r>
            <w:r w:rsidR="00092E81">
              <w:t>home care providers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092E81" w:rsidP="00EF43DC">
            <w:r>
              <w:t>Identical</w:t>
            </w:r>
          </w:p>
        </w:tc>
      </w:tr>
      <w:tr w:rsidR="00092E81" w:rsidTr="006E4C26">
        <w:tc>
          <w:tcPr>
            <w:tcW w:w="1345" w:type="dxa"/>
          </w:tcPr>
          <w:p w:rsidR="00092E81" w:rsidRDefault="00092E81" w:rsidP="00EF43DC">
            <w:r>
              <w:t>5</w:t>
            </w:r>
          </w:p>
        </w:tc>
        <w:tc>
          <w:tcPr>
            <w:tcW w:w="1350" w:type="dxa"/>
          </w:tcPr>
          <w:p w:rsidR="00092E81" w:rsidRDefault="00092E81" w:rsidP="00EF43DC">
            <w:r>
              <w:t>7</w:t>
            </w:r>
          </w:p>
        </w:tc>
        <w:tc>
          <w:tcPr>
            <w:tcW w:w="3960" w:type="dxa"/>
          </w:tcPr>
          <w:p w:rsidR="00092E81" w:rsidRDefault="000A0CBD" w:rsidP="000D02B2">
            <w:r>
              <w:t xml:space="preserve">Notice; </w:t>
            </w:r>
            <w:r w:rsidR="000D02B2">
              <w:t>home care providers</w:t>
            </w:r>
          </w:p>
          <w:p w:rsidR="00575CE1" w:rsidRDefault="00575CE1" w:rsidP="000D02B2"/>
        </w:tc>
        <w:tc>
          <w:tcPr>
            <w:tcW w:w="2695" w:type="dxa"/>
          </w:tcPr>
          <w:p w:rsidR="00092E81" w:rsidRDefault="00C32C6D" w:rsidP="00EF43DC">
            <w:r>
              <w:t>Identical</w:t>
            </w:r>
          </w:p>
        </w:tc>
      </w:tr>
      <w:tr w:rsidR="00C32C6D" w:rsidTr="006E4C26">
        <w:tc>
          <w:tcPr>
            <w:tcW w:w="1345" w:type="dxa"/>
          </w:tcPr>
          <w:p w:rsidR="00C32C6D" w:rsidRDefault="004B0085" w:rsidP="00EF43DC">
            <w:r>
              <w:t>6</w:t>
            </w:r>
          </w:p>
        </w:tc>
        <w:tc>
          <w:tcPr>
            <w:tcW w:w="1350" w:type="dxa"/>
          </w:tcPr>
          <w:p w:rsidR="00C32C6D" w:rsidRDefault="004B0085" w:rsidP="00EF43DC">
            <w:r>
              <w:t>8</w:t>
            </w:r>
          </w:p>
        </w:tc>
        <w:tc>
          <w:tcPr>
            <w:tcW w:w="3960" w:type="dxa"/>
          </w:tcPr>
          <w:p w:rsidR="00C32C6D" w:rsidRDefault="000A0CBD" w:rsidP="000D02B2">
            <w:r>
              <w:t>Expedited hearing; home care providers</w:t>
            </w:r>
          </w:p>
          <w:p w:rsidR="00575CE1" w:rsidRDefault="00575CE1" w:rsidP="000D02B2"/>
        </w:tc>
        <w:tc>
          <w:tcPr>
            <w:tcW w:w="2695" w:type="dxa"/>
          </w:tcPr>
          <w:p w:rsidR="00C32C6D" w:rsidRDefault="00C32C6D" w:rsidP="00EF43DC">
            <w:r>
              <w:t>Identical</w:t>
            </w:r>
          </w:p>
        </w:tc>
      </w:tr>
      <w:tr w:rsidR="00C32C6D" w:rsidTr="006E4C26">
        <w:tc>
          <w:tcPr>
            <w:tcW w:w="1345" w:type="dxa"/>
          </w:tcPr>
          <w:p w:rsidR="00C32C6D" w:rsidRDefault="004B0085" w:rsidP="00EF43DC">
            <w:r>
              <w:t>7</w:t>
            </w:r>
          </w:p>
        </w:tc>
        <w:tc>
          <w:tcPr>
            <w:tcW w:w="1350" w:type="dxa"/>
          </w:tcPr>
          <w:p w:rsidR="00C32C6D" w:rsidRDefault="004B0085" w:rsidP="00EF43DC">
            <w:r>
              <w:t>9</w:t>
            </w:r>
          </w:p>
        </w:tc>
        <w:tc>
          <w:tcPr>
            <w:tcW w:w="3960" w:type="dxa"/>
          </w:tcPr>
          <w:p w:rsidR="00C32C6D" w:rsidRDefault="000A0CBD" w:rsidP="000D02B2">
            <w:r>
              <w:t>Immediate temporary suspension; home care providers</w:t>
            </w:r>
          </w:p>
        </w:tc>
        <w:tc>
          <w:tcPr>
            <w:tcW w:w="2695" w:type="dxa"/>
          </w:tcPr>
          <w:p w:rsidR="00C32C6D" w:rsidRDefault="004B0085" w:rsidP="00EF43DC">
            <w:r>
              <w:t>Identical (technical amendment needed for H 6.26/S 8.11:  “services” should be “service”)</w:t>
            </w:r>
          </w:p>
        </w:tc>
      </w:tr>
      <w:tr w:rsidR="004B0085" w:rsidTr="006E4C26">
        <w:tc>
          <w:tcPr>
            <w:tcW w:w="1345" w:type="dxa"/>
          </w:tcPr>
          <w:p w:rsidR="004B0085" w:rsidRDefault="004B0085" w:rsidP="00EF43DC">
            <w:r>
              <w:t>8</w:t>
            </w:r>
          </w:p>
        </w:tc>
        <w:tc>
          <w:tcPr>
            <w:tcW w:w="1350" w:type="dxa"/>
          </w:tcPr>
          <w:p w:rsidR="004B0085" w:rsidRDefault="004B0085" w:rsidP="00EF43DC">
            <w:r>
              <w:t>10</w:t>
            </w:r>
          </w:p>
        </w:tc>
        <w:tc>
          <w:tcPr>
            <w:tcW w:w="3960" w:type="dxa"/>
          </w:tcPr>
          <w:p w:rsidR="004B0085" w:rsidRDefault="004B0085" w:rsidP="000D02B2">
            <w:r>
              <w:t>Application of other law</w:t>
            </w:r>
            <w:r w:rsidR="000A0CBD">
              <w:t>; home care providers</w:t>
            </w:r>
          </w:p>
          <w:p w:rsidR="00575CE1" w:rsidRDefault="00575CE1" w:rsidP="000D02B2"/>
        </w:tc>
        <w:tc>
          <w:tcPr>
            <w:tcW w:w="2695" w:type="dxa"/>
          </w:tcPr>
          <w:p w:rsidR="004B0085" w:rsidRDefault="004B0085" w:rsidP="00EF43DC">
            <w:r>
              <w:t>Identical</w:t>
            </w:r>
          </w:p>
        </w:tc>
      </w:tr>
      <w:tr w:rsidR="004B0085" w:rsidTr="006E4C26">
        <w:tc>
          <w:tcPr>
            <w:tcW w:w="1345" w:type="dxa"/>
          </w:tcPr>
          <w:p w:rsidR="004B0085" w:rsidRDefault="004B0085" w:rsidP="00EF43DC">
            <w:r>
              <w:t>9</w:t>
            </w:r>
          </w:p>
        </w:tc>
        <w:tc>
          <w:tcPr>
            <w:tcW w:w="1350" w:type="dxa"/>
          </w:tcPr>
          <w:p w:rsidR="004B0085" w:rsidRDefault="004B0085" w:rsidP="00EF43DC">
            <w:r>
              <w:t>11</w:t>
            </w:r>
          </w:p>
        </w:tc>
        <w:tc>
          <w:tcPr>
            <w:tcW w:w="3960" w:type="dxa"/>
          </w:tcPr>
          <w:p w:rsidR="004B0085" w:rsidRDefault="000A0CBD" w:rsidP="000D02B2">
            <w:r>
              <w:t>Prescriptions; home care providers</w:t>
            </w:r>
          </w:p>
          <w:p w:rsidR="00575CE1" w:rsidRDefault="00575CE1" w:rsidP="000D02B2"/>
        </w:tc>
        <w:tc>
          <w:tcPr>
            <w:tcW w:w="2695" w:type="dxa"/>
          </w:tcPr>
          <w:p w:rsidR="004B0085" w:rsidRDefault="004B0085" w:rsidP="00EF43DC">
            <w:r>
              <w:t>Identical</w:t>
            </w:r>
          </w:p>
        </w:tc>
      </w:tr>
      <w:tr w:rsidR="004B0085" w:rsidTr="006E4C26">
        <w:tc>
          <w:tcPr>
            <w:tcW w:w="1345" w:type="dxa"/>
          </w:tcPr>
          <w:p w:rsidR="004B0085" w:rsidRDefault="004B0085" w:rsidP="00EF43DC">
            <w:r>
              <w:t>10</w:t>
            </w:r>
          </w:p>
        </w:tc>
        <w:tc>
          <w:tcPr>
            <w:tcW w:w="1350" w:type="dxa"/>
          </w:tcPr>
          <w:p w:rsidR="004B0085" w:rsidRDefault="004B0085" w:rsidP="00EF43DC">
            <w:r>
              <w:t>12</w:t>
            </w:r>
          </w:p>
        </w:tc>
        <w:tc>
          <w:tcPr>
            <w:tcW w:w="3960" w:type="dxa"/>
          </w:tcPr>
          <w:p w:rsidR="004B0085" w:rsidRDefault="000A0CBD" w:rsidP="000A0CBD">
            <w:r>
              <w:t>Membership of h</w:t>
            </w:r>
            <w:r w:rsidR="004B0085">
              <w:t>ome care and assisted living program advisory council</w:t>
            </w:r>
          </w:p>
          <w:p w:rsidR="00575CE1" w:rsidRDefault="00575CE1" w:rsidP="000A0CBD"/>
        </w:tc>
        <w:tc>
          <w:tcPr>
            <w:tcW w:w="2695" w:type="dxa"/>
          </w:tcPr>
          <w:p w:rsidR="004B0085" w:rsidRDefault="004B0085" w:rsidP="00EF43DC">
            <w:r>
              <w:t>Identical</w:t>
            </w:r>
          </w:p>
        </w:tc>
      </w:tr>
      <w:tr w:rsidR="004B0085" w:rsidTr="006E4C26">
        <w:tc>
          <w:tcPr>
            <w:tcW w:w="1345" w:type="dxa"/>
          </w:tcPr>
          <w:p w:rsidR="004B0085" w:rsidRDefault="004B0085" w:rsidP="00EF43DC">
            <w:r>
              <w:t>11</w:t>
            </w:r>
          </w:p>
        </w:tc>
        <w:tc>
          <w:tcPr>
            <w:tcW w:w="1350" w:type="dxa"/>
          </w:tcPr>
          <w:p w:rsidR="004B0085" w:rsidRDefault="004B0085" w:rsidP="00EF43DC">
            <w:r>
              <w:t>13</w:t>
            </w:r>
          </w:p>
        </w:tc>
        <w:tc>
          <w:tcPr>
            <w:tcW w:w="3960" w:type="dxa"/>
          </w:tcPr>
          <w:p w:rsidR="004B0085" w:rsidRDefault="004B0085" w:rsidP="000D02B2">
            <w:r>
              <w:t>Advisory council duties</w:t>
            </w:r>
          </w:p>
          <w:p w:rsidR="00575CE1" w:rsidRDefault="00575CE1" w:rsidP="000D02B2"/>
        </w:tc>
        <w:tc>
          <w:tcPr>
            <w:tcW w:w="2695" w:type="dxa"/>
          </w:tcPr>
          <w:p w:rsidR="004B0085" w:rsidRDefault="004B0085" w:rsidP="00EF43DC">
            <w:r>
              <w:t>Identical</w:t>
            </w:r>
          </w:p>
        </w:tc>
      </w:tr>
      <w:tr w:rsidR="004B0085" w:rsidTr="006E4C26">
        <w:tc>
          <w:tcPr>
            <w:tcW w:w="1345" w:type="dxa"/>
          </w:tcPr>
          <w:p w:rsidR="004B0085" w:rsidRDefault="004B0085" w:rsidP="00EF43DC">
            <w:r>
              <w:t>12</w:t>
            </w:r>
          </w:p>
        </w:tc>
        <w:tc>
          <w:tcPr>
            <w:tcW w:w="1350" w:type="dxa"/>
          </w:tcPr>
          <w:p w:rsidR="004B0085" w:rsidRDefault="004B0085" w:rsidP="00EF43DC">
            <w:r>
              <w:t>14</w:t>
            </w:r>
          </w:p>
        </w:tc>
        <w:tc>
          <w:tcPr>
            <w:tcW w:w="3960" w:type="dxa"/>
          </w:tcPr>
          <w:p w:rsidR="004B0085" w:rsidRDefault="004B0085" w:rsidP="000D02B2">
            <w:r>
              <w:t>Registration of home management providers</w:t>
            </w:r>
          </w:p>
          <w:p w:rsidR="00575CE1" w:rsidRDefault="00575CE1" w:rsidP="000D02B2"/>
        </w:tc>
        <w:tc>
          <w:tcPr>
            <w:tcW w:w="2695" w:type="dxa"/>
          </w:tcPr>
          <w:p w:rsidR="004B0085" w:rsidRDefault="00C97480" w:rsidP="00EF43DC">
            <w:r>
              <w:lastRenderedPageBreak/>
              <w:t>Identical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>
            <w:r>
              <w:t>13</w:t>
            </w:r>
          </w:p>
        </w:tc>
        <w:tc>
          <w:tcPr>
            <w:tcW w:w="1350" w:type="dxa"/>
          </w:tcPr>
          <w:p w:rsidR="00C97480" w:rsidRDefault="00C97480" w:rsidP="00EF43DC">
            <w:r>
              <w:t>15</w:t>
            </w:r>
          </w:p>
        </w:tc>
        <w:tc>
          <w:tcPr>
            <w:tcW w:w="3960" w:type="dxa"/>
          </w:tcPr>
          <w:p w:rsidR="00C97480" w:rsidRDefault="00C97480" w:rsidP="000D02B2">
            <w:r>
              <w:t>Arranged home care provider</w:t>
            </w:r>
          </w:p>
          <w:p w:rsidR="00575CE1" w:rsidRDefault="00575CE1" w:rsidP="000D02B2"/>
        </w:tc>
        <w:tc>
          <w:tcPr>
            <w:tcW w:w="2695" w:type="dxa"/>
          </w:tcPr>
          <w:p w:rsidR="00C97480" w:rsidRDefault="00C97480" w:rsidP="00EF43DC">
            <w:r>
              <w:t>Identical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16</w:t>
            </w:r>
          </w:p>
        </w:tc>
        <w:tc>
          <w:tcPr>
            <w:tcW w:w="3960" w:type="dxa"/>
          </w:tcPr>
          <w:p w:rsidR="00C97480" w:rsidRDefault="00C97480" w:rsidP="000D02B2">
            <w:r>
              <w:t>Home care and housing services electronic monitoring</w:t>
            </w:r>
            <w:r w:rsidR="00020ED1">
              <w:t>- establishes the right for individuals to install electronic monitoring devices with</w:t>
            </w:r>
            <w:r w:rsidR="00637DF0">
              <w:t>out</w:t>
            </w:r>
            <w:bookmarkStart w:id="0" w:name="_GoBack"/>
            <w:bookmarkEnd w:id="0"/>
            <w:r w:rsidR="00020ED1">
              <w:t xml:space="preserve"> retaliation from home care providers or assisted living facilities</w:t>
            </w:r>
          </w:p>
          <w:p w:rsidR="00575CE1" w:rsidRDefault="00575CE1" w:rsidP="000D02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>
            <w:r>
              <w:t>14</w:t>
            </w:r>
          </w:p>
        </w:tc>
        <w:tc>
          <w:tcPr>
            <w:tcW w:w="1350" w:type="dxa"/>
          </w:tcPr>
          <w:p w:rsidR="00C97480" w:rsidRDefault="00C97480" w:rsidP="00EF43DC">
            <w:r>
              <w:t>17</w:t>
            </w:r>
          </w:p>
        </w:tc>
        <w:tc>
          <w:tcPr>
            <w:tcW w:w="3960" w:type="dxa"/>
          </w:tcPr>
          <w:p w:rsidR="00C97480" w:rsidRDefault="00C97480" w:rsidP="000D02B2">
            <w:r>
              <w:t>Minimum requirements for assisted living</w:t>
            </w:r>
          </w:p>
          <w:p w:rsidR="00575CE1" w:rsidRDefault="00575CE1" w:rsidP="000D02B2"/>
        </w:tc>
        <w:tc>
          <w:tcPr>
            <w:tcW w:w="2695" w:type="dxa"/>
          </w:tcPr>
          <w:p w:rsidR="00C97480" w:rsidRDefault="00C97480" w:rsidP="00EF43DC">
            <w:r>
              <w:t>Identical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>
            <w:r>
              <w:t>15</w:t>
            </w:r>
          </w:p>
        </w:tc>
        <w:tc>
          <w:tcPr>
            <w:tcW w:w="1350" w:type="dxa"/>
          </w:tcPr>
          <w:p w:rsidR="00C97480" w:rsidRDefault="00C97480" w:rsidP="00EF43DC">
            <w:r>
              <w:t>18</w:t>
            </w:r>
          </w:p>
        </w:tc>
        <w:tc>
          <w:tcPr>
            <w:tcW w:w="3960" w:type="dxa"/>
          </w:tcPr>
          <w:p w:rsidR="00C97480" w:rsidRDefault="00C97480" w:rsidP="000D02B2">
            <w:r>
              <w:t>Nursing assessment</w:t>
            </w:r>
          </w:p>
          <w:p w:rsidR="00575CE1" w:rsidRDefault="00575CE1" w:rsidP="000D02B2"/>
        </w:tc>
        <w:tc>
          <w:tcPr>
            <w:tcW w:w="2695" w:type="dxa"/>
          </w:tcPr>
          <w:p w:rsidR="00C97480" w:rsidRDefault="00C97480" w:rsidP="00EF43DC">
            <w:r>
              <w:t>Identical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19</w:t>
            </w:r>
          </w:p>
        </w:tc>
        <w:tc>
          <w:tcPr>
            <w:tcW w:w="3960" w:type="dxa"/>
          </w:tcPr>
          <w:p w:rsidR="00C97480" w:rsidRDefault="00C97480" w:rsidP="000D02B2">
            <w:r>
              <w:t>Supervision (body art)</w:t>
            </w:r>
            <w:r w:rsidR="006E4C26">
              <w:t xml:space="preserve"> – distinguishes direct and indirect supervision</w:t>
            </w:r>
          </w:p>
          <w:p w:rsidR="006E4C26" w:rsidRDefault="006E4C26" w:rsidP="000D02B2"/>
          <w:p w:rsidR="006E4C26" w:rsidRDefault="006E4C26" w:rsidP="000D02B2"/>
          <w:p w:rsidR="006E4C26" w:rsidRDefault="006E4C26" w:rsidP="000D02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20</w:t>
            </w:r>
          </w:p>
        </w:tc>
        <w:tc>
          <w:tcPr>
            <w:tcW w:w="3960" w:type="dxa"/>
          </w:tcPr>
          <w:p w:rsidR="00C97480" w:rsidRDefault="00C97480" w:rsidP="000D02B2">
            <w:r>
              <w:t>Licensure requirements (body art)</w:t>
            </w:r>
            <w:r w:rsidR="006E4C26">
              <w:t xml:space="preserve"> modifies the licensure requirements for new licensees</w:t>
            </w:r>
          </w:p>
          <w:p w:rsidR="003C57B2" w:rsidRDefault="003C57B2" w:rsidP="000D02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21</w:t>
            </w:r>
          </w:p>
        </w:tc>
        <w:tc>
          <w:tcPr>
            <w:tcW w:w="3960" w:type="dxa"/>
          </w:tcPr>
          <w:p w:rsidR="00C97480" w:rsidRDefault="003C57B2" w:rsidP="003C57B2">
            <w:r>
              <w:t xml:space="preserve"> </w:t>
            </w:r>
            <w:r w:rsidR="00C97480">
              <w:t>Licensure term; renewal</w:t>
            </w:r>
            <w:r>
              <w:t xml:space="preserve"> (body art) </w:t>
            </w:r>
            <w:r w:rsidR="00C97480">
              <w:t xml:space="preserve"> </w:t>
            </w:r>
            <w:r w:rsidR="006E4C26">
              <w:t>requires MDH to notify the licensee of pending license expiration</w:t>
            </w:r>
          </w:p>
          <w:p w:rsidR="003C57B2" w:rsidRDefault="003C57B2" w:rsidP="003C57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22</w:t>
            </w:r>
          </w:p>
        </w:tc>
        <w:tc>
          <w:tcPr>
            <w:tcW w:w="3960" w:type="dxa"/>
          </w:tcPr>
          <w:p w:rsidR="00C97480" w:rsidRDefault="00C97480" w:rsidP="000D02B2">
            <w:r>
              <w:t>Temporary licensure (body art)</w:t>
            </w:r>
            <w:r w:rsidR="006E4C26">
              <w:t xml:space="preserve"> conforming change</w:t>
            </w:r>
            <w:r w:rsidR="003C57B2">
              <w:t xml:space="preserve"> made</w:t>
            </w:r>
          </w:p>
          <w:p w:rsidR="003C57B2" w:rsidRDefault="003C57B2" w:rsidP="000D02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23</w:t>
            </w:r>
          </w:p>
        </w:tc>
        <w:tc>
          <w:tcPr>
            <w:tcW w:w="3960" w:type="dxa"/>
          </w:tcPr>
          <w:p w:rsidR="00C97480" w:rsidRDefault="003C57B2" w:rsidP="003C57B2">
            <w:r>
              <w:t xml:space="preserve">Supervised Experience (body art) </w:t>
            </w:r>
            <w:r w:rsidR="006E4C26">
              <w:t>S</w:t>
            </w:r>
            <w:r>
              <w:t>tates the specific</w:t>
            </w:r>
            <w:r w:rsidR="006E4C26">
              <w:t xml:space="preserve"> </w:t>
            </w:r>
            <w:r>
              <w:t>supe</w:t>
            </w:r>
            <w:r w:rsidR="00C97480">
              <w:t>rvised experience</w:t>
            </w:r>
            <w:r>
              <w:t xml:space="preserve"> that is required </w:t>
            </w:r>
            <w:r w:rsidR="006E4C26">
              <w:t xml:space="preserve"> for each license</w:t>
            </w:r>
          </w:p>
          <w:p w:rsidR="003C57B2" w:rsidRDefault="003C57B2" w:rsidP="003C57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24</w:t>
            </w:r>
          </w:p>
        </w:tc>
        <w:tc>
          <w:tcPr>
            <w:tcW w:w="3960" w:type="dxa"/>
          </w:tcPr>
          <w:p w:rsidR="00C97480" w:rsidRDefault="003C57B2" w:rsidP="006E4C26">
            <w:r>
              <w:t xml:space="preserve">Proof of age (body art) </w:t>
            </w:r>
            <w:r w:rsidR="006E4C26">
              <w:t>Clarifies that if a client states that they are 18, the technician must require p</w:t>
            </w:r>
            <w:r>
              <w:t xml:space="preserve">roof of age </w:t>
            </w:r>
          </w:p>
          <w:p w:rsidR="003C57B2" w:rsidRDefault="003C57B2" w:rsidP="006E4C26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25</w:t>
            </w:r>
          </w:p>
        </w:tc>
        <w:tc>
          <w:tcPr>
            <w:tcW w:w="3960" w:type="dxa"/>
          </w:tcPr>
          <w:p w:rsidR="00C97480" w:rsidRDefault="003C57B2" w:rsidP="003C57B2">
            <w:r>
              <w:t xml:space="preserve">Parental Consent (body art) </w:t>
            </w:r>
            <w:r w:rsidR="006E4C26">
              <w:t>Clari</w:t>
            </w:r>
            <w:r>
              <w:t>fi</w:t>
            </w:r>
            <w:r w:rsidR="006E4C26">
              <w:t>es</w:t>
            </w:r>
            <w:r>
              <w:t xml:space="preserve"> under what circumstances and what proof is required before a technician may perform a body piercing on an individual under the age of 18 </w:t>
            </w:r>
          </w:p>
          <w:p w:rsidR="003C57B2" w:rsidRDefault="003C57B2" w:rsidP="003C57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26</w:t>
            </w:r>
          </w:p>
        </w:tc>
        <w:tc>
          <w:tcPr>
            <w:tcW w:w="3960" w:type="dxa"/>
          </w:tcPr>
          <w:p w:rsidR="00C97480" w:rsidRDefault="003C57B2" w:rsidP="003C57B2">
            <w:r>
              <w:t>Establishes a m</w:t>
            </w:r>
            <w:r w:rsidR="00C97480">
              <w:t>edical faculty license</w:t>
            </w:r>
          </w:p>
          <w:p w:rsidR="003C57B2" w:rsidRDefault="003C57B2" w:rsidP="003C57B2"/>
        </w:tc>
        <w:tc>
          <w:tcPr>
            <w:tcW w:w="2695" w:type="dxa"/>
          </w:tcPr>
          <w:p w:rsidR="00C97480" w:rsidRDefault="00C97480" w:rsidP="00EF43DC">
            <w:r>
              <w:t>Senate only</w:t>
            </w:r>
          </w:p>
        </w:tc>
      </w:tr>
      <w:tr w:rsidR="00C97480" w:rsidTr="006E4C26">
        <w:tc>
          <w:tcPr>
            <w:tcW w:w="1345" w:type="dxa"/>
          </w:tcPr>
          <w:p w:rsidR="00C97480" w:rsidRDefault="00C97480" w:rsidP="00EF43DC"/>
        </w:tc>
        <w:tc>
          <w:tcPr>
            <w:tcW w:w="1350" w:type="dxa"/>
          </w:tcPr>
          <w:p w:rsidR="00C97480" w:rsidRDefault="00C97480" w:rsidP="00EF43DC">
            <w:r>
              <w:t>27</w:t>
            </w:r>
          </w:p>
        </w:tc>
        <w:tc>
          <w:tcPr>
            <w:tcW w:w="3960" w:type="dxa"/>
          </w:tcPr>
          <w:p w:rsidR="00C97480" w:rsidRDefault="00F86ADD" w:rsidP="000D02B2">
            <w:r>
              <w:t>Qualifying medical condition (medical cannabis)</w:t>
            </w:r>
            <w:r w:rsidR="003C57B2">
              <w:t xml:space="preserve">  Specifies that inflammatory bowel disease is a qualifying medical condition</w:t>
            </w:r>
          </w:p>
          <w:p w:rsidR="003C57B2" w:rsidRDefault="003C57B2" w:rsidP="000D02B2"/>
        </w:tc>
        <w:tc>
          <w:tcPr>
            <w:tcW w:w="2695" w:type="dxa"/>
          </w:tcPr>
          <w:p w:rsidR="00C97480" w:rsidRDefault="00F86ADD" w:rsidP="00EF43DC">
            <w:r>
              <w:t>Senate only</w:t>
            </w:r>
          </w:p>
        </w:tc>
      </w:tr>
      <w:tr w:rsidR="00F86ADD" w:rsidTr="006E4C26">
        <w:tc>
          <w:tcPr>
            <w:tcW w:w="1345" w:type="dxa"/>
          </w:tcPr>
          <w:p w:rsidR="00F86ADD" w:rsidRDefault="00F86ADD" w:rsidP="00EF43DC"/>
        </w:tc>
        <w:tc>
          <w:tcPr>
            <w:tcW w:w="1350" w:type="dxa"/>
          </w:tcPr>
          <w:p w:rsidR="00F86ADD" w:rsidRDefault="00F86ADD" w:rsidP="00EF43DC">
            <w:r>
              <w:t>28</w:t>
            </w:r>
          </w:p>
        </w:tc>
        <w:tc>
          <w:tcPr>
            <w:tcW w:w="3960" w:type="dxa"/>
          </w:tcPr>
          <w:p w:rsidR="00F86ADD" w:rsidRDefault="00F86ADD" w:rsidP="000D02B2">
            <w:r>
              <w:t>Deadlines (medical cannabis)</w:t>
            </w:r>
            <w:r w:rsidR="003C57B2">
              <w:t xml:space="preserve"> Strikes obsolete language </w:t>
            </w:r>
          </w:p>
          <w:p w:rsidR="003C57B2" w:rsidRDefault="003C57B2" w:rsidP="000D02B2"/>
        </w:tc>
        <w:tc>
          <w:tcPr>
            <w:tcW w:w="2695" w:type="dxa"/>
          </w:tcPr>
          <w:p w:rsidR="00F86ADD" w:rsidRDefault="00F86ADD" w:rsidP="00EF43DC">
            <w:r>
              <w:t>Senate only</w:t>
            </w:r>
          </w:p>
        </w:tc>
      </w:tr>
      <w:tr w:rsidR="00F86ADD" w:rsidTr="006E4C26">
        <w:tc>
          <w:tcPr>
            <w:tcW w:w="1345" w:type="dxa"/>
          </w:tcPr>
          <w:p w:rsidR="00F86ADD" w:rsidRDefault="00F86ADD" w:rsidP="00EF43DC"/>
        </w:tc>
        <w:tc>
          <w:tcPr>
            <w:tcW w:w="1350" w:type="dxa"/>
          </w:tcPr>
          <w:p w:rsidR="00F86ADD" w:rsidRDefault="00F86ADD" w:rsidP="00EF43DC">
            <w:r>
              <w:t>29</w:t>
            </w:r>
          </w:p>
        </w:tc>
        <w:tc>
          <w:tcPr>
            <w:tcW w:w="3960" w:type="dxa"/>
          </w:tcPr>
          <w:p w:rsidR="00F86ADD" w:rsidRDefault="00F86ADD" w:rsidP="000D02B2">
            <w:r>
              <w:t>Reports (medical cannabis)</w:t>
            </w:r>
            <w:r w:rsidR="003C57B2">
              <w:t>requires the commissioner to report to the legislature as well as the task force</w:t>
            </w:r>
          </w:p>
          <w:p w:rsidR="003C57B2" w:rsidRDefault="003C57B2" w:rsidP="000D02B2"/>
        </w:tc>
        <w:tc>
          <w:tcPr>
            <w:tcW w:w="2695" w:type="dxa"/>
          </w:tcPr>
          <w:p w:rsidR="00F86ADD" w:rsidRDefault="00F86ADD" w:rsidP="00EF43DC">
            <w:r>
              <w:t>Senate only</w:t>
            </w:r>
          </w:p>
        </w:tc>
      </w:tr>
      <w:tr w:rsidR="00F86ADD" w:rsidTr="006E4C26">
        <w:tc>
          <w:tcPr>
            <w:tcW w:w="1345" w:type="dxa"/>
          </w:tcPr>
          <w:p w:rsidR="00F86ADD" w:rsidRDefault="00F86ADD" w:rsidP="00EF43DC"/>
        </w:tc>
        <w:tc>
          <w:tcPr>
            <w:tcW w:w="1350" w:type="dxa"/>
          </w:tcPr>
          <w:p w:rsidR="00F86ADD" w:rsidRDefault="00F86ADD" w:rsidP="00EF43DC">
            <w:r>
              <w:t>30</w:t>
            </w:r>
          </w:p>
        </w:tc>
        <w:tc>
          <w:tcPr>
            <w:tcW w:w="3960" w:type="dxa"/>
          </w:tcPr>
          <w:p w:rsidR="00F86ADD" w:rsidRDefault="00F86ADD" w:rsidP="000D02B2">
            <w:r>
              <w:t>Manufacturer; distribution (medical cannabis)</w:t>
            </w:r>
            <w:r w:rsidR="003C57B2">
              <w:t xml:space="preserve"> requires </w:t>
            </w:r>
            <w:r w:rsidR="00575CE1">
              <w:t>pharmacists</w:t>
            </w:r>
            <w:r w:rsidR="003C57B2">
              <w:t xml:space="preserve"> to give final approval for distribution and permits consultations by a pharmacist to be conducted via video</w:t>
            </w:r>
            <w:r w:rsidR="00575CE1">
              <w:t xml:space="preserve"> conference </w:t>
            </w:r>
          </w:p>
          <w:p w:rsidR="00020ED1" w:rsidRDefault="00020ED1" w:rsidP="000D02B2"/>
        </w:tc>
        <w:tc>
          <w:tcPr>
            <w:tcW w:w="2695" w:type="dxa"/>
          </w:tcPr>
          <w:p w:rsidR="00F86ADD" w:rsidRDefault="00F86ADD" w:rsidP="00EF43DC">
            <w:r>
              <w:t>Senate only</w:t>
            </w:r>
          </w:p>
        </w:tc>
      </w:tr>
      <w:tr w:rsidR="00F86ADD" w:rsidTr="006E4C26">
        <w:tc>
          <w:tcPr>
            <w:tcW w:w="1345" w:type="dxa"/>
          </w:tcPr>
          <w:p w:rsidR="00F86ADD" w:rsidRDefault="00F86ADD" w:rsidP="00EF43DC"/>
        </w:tc>
        <w:tc>
          <w:tcPr>
            <w:tcW w:w="1350" w:type="dxa"/>
          </w:tcPr>
          <w:p w:rsidR="00F86ADD" w:rsidRDefault="00F86ADD" w:rsidP="00EF43DC">
            <w:r>
              <w:t>31</w:t>
            </w:r>
          </w:p>
        </w:tc>
        <w:tc>
          <w:tcPr>
            <w:tcW w:w="3960" w:type="dxa"/>
          </w:tcPr>
          <w:p w:rsidR="00F86ADD" w:rsidRDefault="00F86ADD" w:rsidP="00575CE1">
            <w:r>
              <w:t>Transportation of medical cannabis; staffing</w:t>
            </w:r>
            <w:r w:rsidR="00575CE1">
              <w:t>;  permits  a manufacturer to have only one employee in a vehicle when transporting cannabis for specific purposes</w:t>
            </w:r>
          </w:p>
          <w:p w:rsidR="00575CE1" w:rsidRDefault="00575CE1" w:rsidP="00575CE1"/>
        </w:tc>
        <w:tc>
          <w:tcPr>
            <w:tcW w:w="2695" w:type="dxa"/>
          </w:tcPr>
          <w:p w:rsidR="00F86ADD" w:rsidRDefault="00F86ADD" w:rsidP="00EF43DC">
            <w:r>
              <w:t>Senate only</w:t>
            </w:r>
          </w:p>
        </w:tc>
      </w:tr>
      <w:tr w:rsidR="00F86ADD" w:rsidTr="006E4C26">
        <w:tc>
          <w:tcPr>
            <w:tcW w:w="1345" w:type="dxa"/>
          </w:tcPr>
          <w:p w:rsidR="00F86ADD" w:rsidRDefault="00F86ADD" w:rsidP="00EF43DC"/>
        </w:tc>
        <w:tc>
          <w:tcPr>
            <w:tcW w:w="1350" w:type="dxa"/>
          </w:tcPr>
          <w:p w:rsidR="00F86ADD" w:rsidRDefault="00F86ADD" w:rsidP="00EF43DC">
            <w:r>
              <w:t>32</w:t>
            </w:r>
          </w:p>
        </w:tc>
        <w:tc>
          <w:tcPr>
            <w:tcW w:w="3960" w:type="dxa"/>
          </w:tcPr>
          <w:p w:rsidR="00F86ADD" w:rsidRDefault="00D9464C" w:rsidP="000D02B2">
            <w:r>
              <w:t>Administration (medical cannabis task force)</w:t>
            </w:r>
            <w:r w:rsidR="00575CE1">
              <w:t>requires MDH to provide administrative and technical support to the task force</w:t>
            </w:r>
          </w:p>
          <w:p w:rsidR="00575CE1" w:rsidRDefault="00575CE1" w:rsidP="000D02B2"/>
        </w:tc>
        <w:tc>
          <w:tcPr>
            <w:tcW w:w="2695" w:type="dxa"/>
          </w:tcPr>
          <w:p w:rsidR="00F86ADD" w:rsidRDefault="00D9464C" w:rsidP="00EF43DC">
            <w:r>
              <w:t>Senate only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/>
        </w:tc>
        <w:tc>
          <w:tcPr>
            <w:tcW w:w="1350" w:type="dxa"/>
          </w:tcPr>
          <w:p w:rsidR="00D9464C" w:rsidRDefault="00D9464C" w:rsidP="00EF43DC">
            <w:r>
              <w:t>33</w:t>
            </w:r>
          </w:p>
        </w:tc>
        <w:tc>
          <w:tcPr>
            <w:tcW w:w="3960" w:type="dxa"/>
          </w:tcPr>
          <w:p w:rsidR="00D9464C" w:rsidRDefault="00D9464C" w:rsidP="000D02B2">
            <w:r>
              <w:t>Impact assessment (medical cannabis task force)</w:t>
            </w:r>
            <w:r w:rsidR="00575CE1">
              <w:t xml:space="preserve"> Makes minor changes 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Senate only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>
            <w:r>
              <w:t>16</w:t>
            </w:r>
          </w:p>
        </w:tc>
        <w:tc>
          <w:tcPr>
            <w:tcW w:w="1350" w:type="dxa"/>
          </w:tcPr>
          <w:p w:rsidR="00D9464C" w:rsidRDefault="00D9464C" w:rsidP="00EF43DC">
            <w:r>
              <w:t>34</w:t>
            </w:r>
          </w:p>
        </w:tc>
        <w:tc>
          <w:tcPr>
            <w:tcW w:w="3960" w:type="dxa"/>
          </w:tcPr>
          <w:p w:rsidR="00D9464C" w:rsidRDefault="00D9464C" w:rsidP="000D02B2">
            <w:r>
              <w:t>Certification renewal notice (hearing instrument dispensers)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Identical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>
            <w:r>
              <w:t>17</w:t>
            </w:r>
          </w:p>
        </w:tc>
        <w:tc>
          <w:tcPr>
            <w:tcW w:w="1350" w:type="dxa"/>
          </w:tcPr>
          <w:p w:rsidR="00D9464C" w:rsidRDefault="00D9464C" w:rsidP="00EF43DC">
            <w:r>
              <w:t>35</w:t>
            </w:r>
          </w:p>
        </w:tc>
        <w:tc>
          <w:tcPr>
            <w:tcW w:w="3960" w:type="dxa"/>
          </w:tcPr>
          <w:p w:rsidR="00D9464C" w:rsidRDefault="00D9464C" w:rsidP="000D02B2">
            <w:r>
              <w:t>Certification by examination (hearing instrument dispensers)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Identical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>
            <w:r>
              <w:t>18</w:t>
            </w:r>
          </w:p>
        </w:tc>
        <w:tc>
          <w:tcPr>
            <w:tcW w:w="1350" w:type="dxa"/>
          </w:tcPr>
          <w:p w:rsidR="00D9464C" w:rsidRDefault="00D9464C" w:rsidP="00EF43DC">
            <w:r>
              <w:t>36</w:t>
            </w:r>
          </w:p>
        </w:tc>
        <w:tc>
          <w:tcPr>
            <w:tcW w:w="3960" w:type="dxa"/>
          </w:tcPr>
          <w:p w:rsidR="00D9464C" w:rsidRDefault="00D9464C" w:rsidP="000D02B2">
            <w:r>
              <w:t>Hearings (hearing instrument dispensers)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Identical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>
            <w:r>
              <w:t>19</w:t>
            </w:r>
          </w:p>
        </w:tc>
        <w:tc>
          <w:tcPr>
            <w:tcW w:w="1350" w:type="dxa"/>
          </w:tcPr>
          <w:p w:rsidR="00D9464C" w:rsidRDefault="00D9464C" w:rsidP="00EF43DC">
            <w:r>
              <w:t>37</w:t>
            </w:r>
          </w:p>
        </w:tc>
        <w:tc>
          <w:tcPr>
            <w:tcW w:w="3960" w:type="dxa"/>
          </w:tcPr>
          <w:p w:rsidR="00D9464C" w:rsidRDefault="00D9464C" w:rsidP="000D02B2">
            <w:r>
              <w:t>Special event food stand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Identical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>
            <w:r>
              <w:lastRenderedPageBreak/>
              <w:t>20</w:t>
            </w:r>
          </w:p>
        </w:tc>
        <w:tc>
          <w:tcPr>
            <w:tcW w:w="1350" w:type="dxa"/>
          </w:tcPr>
          <w:p w:rsidR="00D9464C" w:rsidRDefault="00D9464C" w:rsidP="00EF43DC">
            <w:r>
              <w:t>38</w:t>
            </w:r>
          </w:p>
        </w:tc>
        <w:tc>
          <w:tcPr>
            <w:tcW w:w="3960" w:type="dxa"/>
          </w:tcPr>
          <w:p w:rsidR="00D9464C" w:rsidRDefault="00D9464C" w:rsidP="000D02B2">
            <w:r>
              <w:t>Posting requirements (food and other establishments)</w:t>
            </w:r>
          </w:p>
          <w:p w:rsidR="00575CE1" w:rsidRDefault="00575CE1" w:rsidP="000D02B2"/>
        </w:tc>
        <w:tc>
          <w:tcPr>
            <w:tcW w:w="2695" w:type="dxa"/>
          </w:tcPr>
          <w:p w:rsidR="00D9464C" w:rsidRDefault="00D9464C" w:rsidP="00EF43DC">
            <w:r>
              <w:t>Identical</w:t>
            </w:r>
          </w:p>
        </w:tc>
      </w:tr>
      <w:tr w:rsidR="00D9464C" w:rsidTr="006E4C26">
        <w:tc>
          <w:tcPr>
            <w:tcW w:w="1345" w:type="dxa"/>
          </w:tcPr>
          <w:p w:rsidR="00D9464C" w:rsidRDefault="00D9464C" w:rsidP="00EF43DC"/>
        </w:tc>
        <w:tc>
          <w:tcPr>
            <w:tcW w:w="1350" w:type="dxa"/>
          </w:tcPr>
          <w:p w:rsidR="00D9464C" w:rsidRDefault="00D9464C" w:rsidP="00EF43DC">
            <w:r>
              <w:t>39</w:t>
            </w:r>
          </w:p>
        </w:tc>
        <w:tc>
          <w:tcPr>
            <w:tcW w:w="3960" w:type="dxa"/>
          </w:tcPr>
          <w:p w:rsidR="00D9464C" w:rsidRDefault="00D9464C" w:rsidP="000D02B2">
            <w:r>
              <w:t>L</w:t>
            </w:r>
            <w:r w:rsidR="006139A9">
              <w:t>egislat</w:t>
            </w:r>
            <w:r w:rsidR="005465CE">
              <w:t xml:space="preserve">ive approval; </w:t>
            </w:r>
            <w:r w:rsidR="006139A9">
              <w:t>rules</w:t>
            </w:r>
            <w:r w:rsidR="005465CE">
              <w:t xml:space="preserve"> on positive support strategies and restrictive interventions</w:t>
            </w:r>
          </w:p>
          <w:p w:rsidR="00020ED1" w:rsidRDefault="00020ED1" w:rsidP="000D02B2"/>
        </w:tc>
        <w:tc>
          <w:tcPr>
            <w:tcW w:w="2695" w:type="dxa"/>
          </w:tcPr>
          <w:p w:rsidR="00D9464C" w:rsidRDefault="006139A9" w:rsidP="00EF43DC">
            <w:r>
              <w:t>Senate only</w:t>
            </w:r>
          </w:p>
        </w:tc>
      </w:tr>
      <w:tr w:rsidR="006139A9" w:rsidTr="006E4C26">
        <w:tc>
          <w:tcPr>
            <w:tcW w:w="1345" w:type="dxa"/>
          </w:tcPr>
          <w:p w:rsidR="006139A9" w:rsidRDefault="006139A9" w:rsidP="00EF43DC"/>
        </w:tc>
        <w:tc>
          <w:tcPr>
            <w:tcW w:w="1350" w:type="dxa"/>
          </w:tcPr>
          <w:p w:rsidR="006139A9" w:rsidRDefault="006139A9" w:rsidP="00EF43DC">
            <w:r>
              <w:t>40-49</w:t>
            </w:r>
          </w:p>
        </w:tc>
        <w:tc>
          <w:tcPr>
            <w:tcW w:w="3960" w:type="dxa"/>
          </w:tcPr>
          <w:p w:rsidR="006139A9" w:rsidRDefault="00BC1235" w:rsidP="00BC1235">
            <w:r>
              <w:t xml:space="preserve">Removing cross-references to statutes repealed in this bill </w:t>
            </w:r>
            <w:r w:rsidR="006139A9">
              <w:t>governing aver</w:t>
            </w:r>
            <w:r w:rsidR="005465CE">
              <w:t xml:space="preserve">sive and deprivation procedures and to repealed rules, </w:t>
            </w:r>
            <w:r w:rsidR="006139A9">
              <w:t>and related terminology changes</w:t>
            </w:r>
          </w:p>
          <w:p w:rsidR="00575CE1" w:rsidRDefault="00575CE1" w:rsidP="00BC1235"/>
        </w:tc>
        <w:tc>
          <w:tcPr>
            <w:tcW w:w="2695" w:type="dxa"/>
          </w:tcPr>
          <w:p w:rsidR="006139A9" w:rsidRDefault="006139A9" w:rsidP="00EF43DC">
            <w:r>
              <w:t>Senate only</w:t>
            </w:r>
          </w:p>
        </w:tc>
      </w:tr>
      <w:tr w:rsidR="006139A9" w:rsidTr="006E4C26">
        <w:tc>
          <w:tcPr>
            <w:tcW w:w="1345" w:type="dxa"/>
          </w:tcPr>
          <w:p w:rsidR="006139A9" w:rsidRDefault="006139A9" w:rsidP="00EF43DC"/>
        </w:tc>
        <w:tc>
          <w:tcPr>
            <w:tcW w:w="1350" w:type="dxa"/>
          </w:tcPr>
          <w:p w:rsidR="006139A9" w:rsidRDefault="006139A9" w:rsidP="00EF43DC">
            <w:r>
              <w:t>50</w:t>
            </w:r>
          </w:p>
        </w:tc>
        <w:tc>
          <w:tcPr>
            <w:tcW w:w="3960" w:type="dxa"/>
          </w:tcPr>
          <w:p w:rsidR="006139A9" w:rsidRDefault="006139A9" w:rsidP="000D02B2">
            <w:r>
              <w:t>Appropriation for administration of medical cannabis task force</w:t>
            </w:r>
            <w:r w:rsidR="00575CE1">
              <w:t xml:space="preserve"> to MDH</w:t>
            </w:r>
          </w:p>
          <w:p w:rsidR="00575CE1" w:rsidRDefault="00575CE1" w:rsidP="000D02B2"/>
        </w:tc>
        <w:tc>
          <w:tcPr>
            <w:tcW w:w="2695" w:type="dxa"/>
          </w:tcPr>
          <w:p w:rsidR="006139A9" w:rsidRDefault="006139A9" w:rsidP="00EF43DC">
            <w:r>
              <w:t>Senate only</w:t>
            </w:r>
          </w:p>
        </w:tc>
      </w:tr>
      <w:tr w:rsidR="006139A9" w:rsidTr="006E4C26">
        <w:tc>
          <w:tcPr>
            <w:tcW w:w="1345" w:type="dxa"/>
          </w:tcPr>
          <w:p w:rsidR="006139A9" w:rsidRDefault="006139A9" w:rsidP="00EF43DC"/>
        </w:tc>
        <w:tc>
          <w:tcPr>
            <w:tcW w:w="1350" w:type="dxa"/>
          </w:tcPr>
          <w:p w:rsidR="006139A9" w:rsidRDefault="00AE08CC" w:rsidP="00EF43DC">
            <w:r>
              <w:t>51</w:t>
            </w:r>
          </w:p>
        </w:tc>
        <w:tc>
          <w:tcPr>
            <w:tcW w:w="3960" w:type="dxa"/>
          </w:tcPr>
          <w:p w:rsidR="006139A9" w:rsidRDefault="00AE08CC" w:rsidP="000D02B2">
            <w:r>
              <w:t>Appropriation cancellation of LCC appropriation</w:t>
            </w:r>
          </w:p>
          <w:p w:rsidR="00575CE1" w:rsidRDefault="00575CE1" w:rsidP="000D02B2"/>
        </w:tc>
        <w:tc>
          <w:tcPr>
            <w:tcW w:w="2695" w:type="dxa"/>
          </w:tcPr>
          <w:p w:rsidR="006139A9" w:rsidRDefault="00AE08CC" w:rsidP="00EF43DC">
            <w:r>
              <w:t>Senate only</w:t>
            </w:r>
          </w:p>
        </w:tc>
      </w:tr>
      <w:tr w:rsidR="00AE08CC" w:rsidTr="006E4C26">
        <w:tc>
          <w:tcPr>
            <w:tcW w:w="1345" w:type="dxa"/>
          </w:tcPr>
          <w:p w:rsidR="00AE08CC" w:rsidRDefault="00AE08CC" w:rsidP="00EF43DC"/>
        </w:tc>
        <w:tc>
          <w:tcPr>
            <w:tcW w:w="1350" w:type="dxa"/>
          </w:tcPr>
          <w:p w:rsidR="00AE08CC" w:rsidRDefault="00AE08CC" w:rsidP="00EF43DC">
            <w:r>
              <w:t>52</w:t>
            </w:r>
          </w:p>
        </w:tc>
        <w:tc>
          <w:tcPr>
            <w:tcW w:w="3960" w:type="dxa"/>
          </w:tcPr>
          <w:p w:rsidR="00AE08CC" w:rsidRDefault="00AE08CC" w:rsidP="000D02B2">
            <w:r>
              <w:t>Repealer of statutes governing aversive and deprivation procedures</w:t>
            </w:r>
          </w:p>
          <w:p w:rsidR="00020ED1" w:rsidRDefault="00020ED1" w:rsidP="000D02B2"/>
        </w:tc>
        <w:tc>
          <w:tcPr>
            <w:tcW w:w="2695" w:type="dxa"/>
          </w:tcPr>
          <w:p w:rsidR="00AE08CC" w:rsidRDefault="00AE08CC" w:rsidP="00EF43DC">
            <w:r>
              <w:t>Senate only</w:t>
            </w:r>
          </w:p>
        </w:tc>
      </w:tr>
    </w:tbl>
    <w:p w:rsidR="00092E81" w:rsidRPr="00827C84" w:rsidRDefault="00092E81" w:rsidP="00EF43DC"/>
    <w:sectPr w:rsidR="00092E81" w:rsidRPr="00827C84" w:rsidSect="00F417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9E" w:rsidRDefault="00A1609E" w:rsidP="005465CE">
      <w:r>
        <w:separator/>
      </w:r>
    </w:p>
  </w:endnote>
  <w:endnote w:type="continuationSeparator" w:id="0">
    <w:p w:rsidR="00A1609E" w:rsidRDefault="00A1609E" w:rsidP="005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824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5CE" w:rsidRDefault="00546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65CE" w:rsidRDefault="00546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9E" w:rsidRDefault="00A1609E" w:rsidP="005465CE">
      <w:r>
        <w:separator/>
      </w:r>
    </w:p>
  </w:footnote>
  <w:footnote w:type="continuationSeparator" w:id="0">
    <w:p w:rsidR="00A1609E" w:rsidRDefault="00A1609E" w:rsidP="0054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81"/>
    <w:rsid w:val="00020ED1"/>
    <w:rsid w:val="00092E81"/>
    <w:rsid w:val="000A0CBD"/>
    <w:rsid w:val="000D02B2"/>
    <w:rsid w:val="00155E8D"/>
    <w:rsid w:val="001C72E0"/>
    <w:rsid w:val="002C048E"/>
    <w:rsid w:val="002C486D"/>
    <w:rsid w:val="00367738"/>
    <w:rsid w:val="00373772"/>
    <w:rsid w:val="00382B93"/>
    <w:rsid w:val="003C57B2"/>
    <w:rsid w:val="00427695"/>
    <w:rsid w:val="004B0085"/>
    <w:rsid w:val="004B4131"/>
    <w:rsid w:val="004F5222"/>
    <w:rsid w:val="005465CE"/>
    <w:rsid w:val="00575CE1"/>
    <w:rsid w:val="006139A9"/>
    <w:rsid w:val="00637DF0"/>
    <w:rsid w:val="006E4C26"/>
    <w:rsid w:val="007836EF"/>
    <w:rsid w:val="00787E77"/>
    <w:rsid w:val="007C738B"/>
    <w:rsid w:val="007E120B"/>
    <w:rsid w:val="00827C84"/>
    <w:rsid w:val="0095325A"/>
    <w:rsid w:val="0097222B"/>
    <w:rsid w:val="00A1609E"/>
    <w:rsid w:val="00A67E95"/>
    <w:rsid w:val="00AE08CC"/>
    <w:rsid w:val="00BC1235"/>
    <w:rsid w:val="00C32C6D"/>
    <w:rsid w:val="00C97480"/>
    <w:rsid w:val="00CE1714"/>
    <w:rsid w:val="00D0088B"/>
    <w:rsid w:val="00D2127E"/>
    <w:rsid w:val="00D421EA"/>
    <w:rsid w:val="00D9464C"/>
    <w:rsid w:val="00DB2F7E"/>
    <w:rsid w:val="00E128AC"/>
    <w:rsid w:val="00EF43DC"/>
    <w:rsid w:val="00EF5B38"/>
    <w:rsid w:val="00F417BC"/>
    <w:rsid w:val="00F5202C"/>
    <w:rsid w:val="00F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E850B-5C32-478F-A4DE-8D8752CB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092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5C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46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5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C53C21-C6A9-49D8-A795-8F688A37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Klarqvist</dc:creator>
  <cp:keywords/>
  <dc:description/>
  <cp:lastModifiedBy>Windows User</cp:lastModifiedBy>
  <cp:revision>3</cp:revision>
  <dcterms:created xsi:type="dcterms:W3CDTF">2016-05-19T22:48:00Z</dcterms:created>
  <dcterms:modified xsi:type="dcterms:W3CDTF">2016-05-19T22:59:00Z</dcterms:modified>
</cp:coreProperties>
</file>