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57F5" w:rsidRDefault="003D4932">
      <w:pPr>
        <w:spacing w:after="0" w:line="259" w:lineRule="auto"/>
        <w:ind w:left="58" w:firstLine="0"/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3432048" cy="1374648"/>
            <wp:effectExtent l="0" t="0" r="0" b="0"/>
            <wp:docPr id="125" name="Picture 1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" name="Picture 12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32048" cy="1374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</w:p>
    <w:p w:rsidR="002857F5" w:rsidRDefault="00E300A7">
      <w:pPr>
        <w:spacing w:after="0" w:line="259" w:lineRule="auto"/>
        <w:ind w:left="30" w:hanging="10"/>
        <w:jc w:val="center"/>
      </w:pPr>
      <w:r>
        <w:rPr>
          <w:b/>
          <w:sz w:val="26"/>
        </w:rPr>
        <w:t>HF 2206</w:t>
      </w:r>
      <w:r w:rsidR="003D4932">
        <w:rPr>
          <w:b/>
          <w:sz w:val="26"/>
        </w:rPr>
        <w:t xml:space="preserve"> Summary Sheet </w:t>
      </w:r>
      <w:r w:rsidR="003D4932">
        <w:t xml:space="preserve"> </w:t>
      </w:r>
    </w:p>
    <w:p w:rsidR="002857F5" w:rsidRDefault="00754DAD">
      <w:pPr>
        <w:spacing w:after="0" w:line="259" w:lineRule="auto"/>
        <w:ind w:left="29" w:hanging="10"/>
        <w:jc w:val="center"/>
      </w:pPr>
      <w:r>
        <w:rPr>
          <w:sz w:val="26"/>
        </w:rPr>
        <w:t>Sections 1 &amp; 4</w:t>
      </w:r>
      <w:r w:rsidR="003D4932">
        <w:rPr>
          <w:sz w:val="26"/>
        </w:rPr>
        <w:t xml:space="preserve">: Reciprocity  </w:t>
      </w:r>
      <w:r w:rsidR="003D4932">
        <w:t xml:space="preserve"> </w:t>
      </w:r>
    </w:p>
    <w:p w:rsidR="005203F3" w:rsidRDefault="005203F3">
      <w:pPr>
        <w:spacing w:after="0" w:line="259" w:lineRule="auto"/>
        <w:ind w:left="5" w:firstLine="0"/>
      </w:pPr>
    </w:p>
    <w:p w:rsidR="002857F5" w:rsidRDefault="003D4932" w:rsidP="005203F3">
      <w:pPr>
        <w:spacing w:after="0" w:line="259" w:lineRule="auto"/>
        <w:ind w:left="-5" w:hanging="10"/>
        <w:jc w:val="both"/>
      </w:pPr>
      <w:r>
        <w:rPr>
          <w:b/>
        </w:rPr>
        <w:t>What is the purpose of</w:t>
      </w:r>
      <w:r w:rsidR="00D02845">
        <w:rPr>
          <w:b/>
        </w:rPr>
        <w:t xml:space="preserve"> </w:t>
      </w:r>
      <w:r w:rsidR="00E300A7">
        <w:rPr>
          <w:b/>
        </w:rPr>
        <w:t>HF 2206 regarding</w:t>
      </w:r>
      <w:r>
        <w:rPr>
          <w:b/>
        </w:rPr>
        <w:t xml:space="preserve"> licensure</w:t>
      </w:r>
      <w:r w:rsidR="00E300A7">
        <w:rPr>
          <w:b/>
        </w:rPr>
        <w:t xml:space="preserve"> by</w:t>
      </w:r>
      <w:r>
        <w:rPr>
          <w:b/>
        </w:rPr>
        <w:t xml:space="preserve"> </w:t>
      </w:r>
      <w:r>
        <w:rPr>
          <w:b/>
          <w:i/>
        </w:rPr>
        <w:t>reciprocity</w:t>
      </w:r>
      <w:r>
        <w:rPr>
          <w:b/>
        </w:rPr>
        <w:t xml:space="preserve">? </w:t>
      </w:r>
      <w:r>
        <w:t xml:space="preserve"> </w:t>
      </w:r>
    </w:p>
    <w:p w:rsidR="002857F5" w:rsidRDefault="003D4932" w:rsidP="005203F3">
      <w:pPr>
        <w:spacing w:after="0" w:line="259" w:lineRule="auto"/>
        <w:ind w:left="5" w:firstLine="0"/>
        <w:jc w:val="both"/>
      </w:pPr>
      <w:r>
        <w:t xml:space="preserve"> </w:t>
      </w:r>
      <w:r>
        <w:rPr>
          <w:sz w:val="16"/>
        </w:rPr>
        <w:t xml:space="preserve"> </w:t>
      </w:r>
    </w:p>
    <w:p w:rsidR="002857F5" w:rsidRDefault="00E300A7" w:rsidP="005203F3">
      <w:pPr>
        <w:numPr>
          <w:ilvl w:val="0"/>
          <w:numId w:val="1"/>
        </w:numPr>
        <w:ind w:hanging="360"/>
        <w:jc w:val="both"/>
      </w:pPr>
      <w:r>
        <w:t>HF 2206</w:t>
      </w:r>
      <w:r w:rsidR="003D4932">
        <w:t xml:space="preserve"> is designed to </w:t>
      </w:r>
      <w:r>
        <w:rPr>
          <w:i/>
        </w:rPr>
        <w:t>promote license</w:t>
      </w:r>
      <w:r w:rsidR="003D4932">
        <w:rPr>
          <w:i/>
        </w:rPr>
        <w:t xml:space="preserve"> portability</w:t>
      </w:r>
      <w:r w:rsidR="003D4932">
        <w:t xml:space="preserve"> </w:t>
      </w:r>
      <w:r>
        <w:t xml:space="preserve">for experienced counselors from other states, </w:t>
      </w:r>
      <w:r w:rsidR="00373E3C">
        <w:rPr>
          <w:i/>
        </w:rPr>
        <w:t>reduce</w:t>
      </w:r>
      <w:r w:rsidRPr="00E300A7">
        <w:rPr>
          <w:i/>
        </w:rPr>
        <w:t xml:space="preserve"> barriers to licensure</w:t>
      </w:r>
      <w:r>
        <w:t xml:space="preserve">, and </w:t>
      </w:r>
      <w:r w:rsidRPr="00E300A7">
        <w:rPr>
          <w:i/>
        </w:rPr>
        <w:t>add to Minnesota’s mental health provider work force</w:t>
      </w:r>
      <w:r>
        <w:t xml:space="preserve">.  </w:t>
      </w:r>
      <w:r w:rsidR="00754DAD">
        <w:t xml:space="preserve">HF 2206 pertains to persons seeking licensure </w:t>
      </w:r>
      <w:r w:rsidR="003D4932">
        <w:t xml:space="preserve">to practice in Minnesota as a Licensed Professional Clinical Counselor (LPCC), a Licensed Professional Counselor (LPC), or a Licensed Alcohol and Drug Counselor (LADC).   </w:t>
      </w:r>
    </w:p>
    <w:p w:rsidR="002857F5" w:rsidRDefault="00754DAD" w:rsidP="005203F3">
      <w:pPr>
        <w:numPr>
          <w:ilvl w:val="0"/>
          <w:numId w:val="1"/>
        </w:numPr>
        <w:ind w:hanging="360"/>
        <w:jc w:val="both"/>
      </w:pPr>
      <w:r>
        <w:t>Minnesota already has provisions in the law for licensure by reciprocity.  The Board may issue a license to an individual licensed in another state if the requirements for that credential are</w:t>
      </w:r>
      <w:r w:rsidR="00D02845">
        <w:rPr>
          <w:i/>
        </w:rPr>
        <w:t xml:space="preserve"> substantially similar</w:t>
      </w:r>
      <w:r w:rsidR="003D4932">
        <w:t xml:space="preserve"> to the requirements for a Minnesota license.  </w:t>
      </w:r>
    </w:p>
    <w:p w:rsidR="00754DAD" w:rsidRDefault="00311F87" w:rsidP="005203F3">
      <w:pPr>
        <w:numPr>
          <w:ilvl w:val="0"/>
          <w:numId w:val="1"/>
        </w:numPr>
        <w:ind w:hanging="360"/>
        <w:jc w:val="both"/>
      </w:pPr>
      <w:r>
        <w:t>All states have education, supervision/experience, and examination requirements for licensure.  However, v</w:t>
      </w:r>
      <w:r w:rsidR="00754DAD">
        <w:t xml:space="preserve">ariations in licensure requirements in other states </w:t>
      </w:r>
      <w:r>
        <w:t xml:space="preserve">sometimes cannot meet the </w:t>
      </w:r>
      <w:r w:rsidRPr="00311F87">
        <w:rPr>
          <w:i/>
        </w:rPr>
        <w:t>substantially similar</w:t>
      </w:r>
      <w:r>
        <w:t xml:space="preserve"> requirement.  Example:  LPCC licensure in Minnesota requires 4000 hours of post-master’s supervised practice.  Most states require 3000 hours of post-master’s practice</w:t>
      </w:r>
      <w:r w:rsidR="005F6838">
        <w:t xml:space="preserve"> (a difference of six months of supervised practice).</w:t>
      </w:r>
    </w:p>
    <w:p w:rsidR="002857F5" w:rsidRDefault="00311F87" w:rsidP="005203F3">
      <w:pPr>
        <w:numPr>
          <w:ilvl w:val="0"/>
          <w:numId w:val="1"/>
        </w:numPr>
        <w:spacing w:after="0" w:line="240" w:lineRule="auto"/>
        <w:ind w:hanging="360"/>
        <w:jc w:val="both"/>
      </w:pPr>
      <w:r>
        <w:t>HF 2206 will allow an individual</w:t>
      </w:r>
      <w:r w:rsidR="003D4932">
        <w:rPr>
          <w:i/>
        </w:rPr>
        <w:t xml:space="preserve"> licensed for active practice</w:t>
      </w:r>
      <w:r w:rsidR="003D4932">
        <w:t xml:space="preserve"> in another state for a </w:t>
      </w:r>
      <w:r w:rsidR="003D4932">
        <w:rPr>
          <w:i/>
        </w:rPr>
        <w:t>minimum of five years</w:t>
      </w:r>
      <w:r>
        <w:t xml:space="preserve"> to be licensed in Minnesota by reciprocity</w:t>
      </w:r>
      <w:r w:rsidR="006F294A">
        <w:t>.</w:t>
      </w:r>
      <w:r w:rsidR="003D4932">
        <w:t xml:space="preserve">  </w:t>
      </w:r>
    </w:p>
    <w:p w:rsidR="002857F5" w:rsidRDefault="006F294A" w:rsidP="005203F3">
      <w:pPr>
        <w:numPr>
          <w:ilvl w:val="0"/>
          <w:numId w:val="1"/>
        </w:numPr>
        <w:ind w:hanging="360"/>
        <w:jc w:val="both"/>
      </w:pPr>
      <w:r>
        <w:t>HF 2206 protects Minnesota citizens by requiring that t</w:t>
      </w:r>
      <w:r w:rsidR="003D4932">
        <w:t xml:space="preserve">he individual </w:t>
      </w:r>
      <w:r>
        <w:t xml:space="preserve">seeking licensure in Minnesota </w:t>
      </w:r>
      <w:r w:rsidR="003D4932">
        <w:t xml:space="preserve">must </w:t>
      </w:r>
      <w:r w:rsidR="003D4932">
        <w:rPr>
          <w:i/>
        </w:rPr>
        <w:t>not have been subject to disciplinary action</w:t>
      </w:r>
      <w:r w:rsidR="003D4932">
        <w:t xml:space="preserve"> in another state.  If the individual has been the subject of disciplinary action, the applicant’s request for licensure will be reviewed by the Board for potential eligibility.  </w:t>
      </w:r>
    </w:p>
    <w:p w:rsidR="002857F5" w:rsidRDefault="002857F5" w:rsidP="005203F3">
      <w:pPr>
        <w:spacing w:after="0" w:line="259" w:lineRule="auto"/>
        <w:ind w:left="725" w:firstLine="0"/>
        <w:jc w:val="both"/>
      </w:pPr>
    </w:p>
    <w:p w:rsidR="002857F5" w:rsidRDefault="003D4932" w:rsidP="005203F3">
      <w:pPr>
        <w:spacing w:after="0" w:line="259" w:lineRule="auto"/>
        <w:ind w:left="-5" w:hanging="10"/>
        <w:jc w:val="both"/>
      </w:pPr>
      <w:r>
        <w:rPr>
          <w:b/>
        </w:rPr>
        <w:t xml:space="preserve">How does reciprocity benefit the public? </w:t>
      </w:r>
      <w:r>
        <w:t xml:space="preserve"> </w:t>
      </w:r>
    </w:p>
    <w:p w:rsidR="002857F5" w:rsidRDefault="003D4932" w:rsidP="005203F3">
      <w:pPr>
        <w:spacing w:after="0" w:line="259" w:lineRule="auto"/>
        <w:ind w:left="5" w:firstLine="0"/>
        <w:jc w:val="both"/>
      </w:pPr>
      <w:r>
        <w:t xml:space="preserve"> </w:t>
      </w:r>
      <w:r>
        <w:rPr>
          <w:sz w:val="16"/>
        </w:rPr>
        <w:t xml:space="preserve"> </w:t>
      </w:r>
    </w:p>
    <w:p w:rsidR="002857F5" w:rsidRDefault="003D4932" w:rsidP="005203F3">
      <w:pPr>
        <w:numPr>
          <w:ilvl w:val="0"/>
          <w:numId w:val="2"/>
        </w:numPr>
        <w:ind w:hanging="360"/>
        <w:jc w:val="both"/>
      </w:pPr>
      <w:r>
        <w:t>The goal of</w:t>
      </w:r>
      <w:r w:rsidR="00AC5226">
        <w:t xml:space="preserve"> </w:t>
      </w:r>
      <w:r w:rsidR="00E300A7">
        <w:t>HF 2206</w:t>
      </w:r>
      <w:r>
        <w:t xml:space="preserve"> is to </w:t>
      </w:r>
      <w:r>
        <w:rPr>
          <w:i/>
        </w:rPr>
        <w:t>increase public access</w:t>
      </w:r>
      <w:r>
        <w:t xml:space="preserve"> to LPCCs, LPCs, and LADCs in Minnesota.  </w:t>
      </w:r>
    </w:p>
    <w:p w:rsidR="002857F5" w:rsidRDefault="00E300A7" w:rsidP="005203F3">
      <w:pPr>
        <w:numPr>
          <w:ilvl w:val="0"/>
          <w:numId w:val="2"/>
        </w:numPr>
        <w:ind w:hanging="360"/>
        <w:jc w:val="both"/>
      </w:pPr>
      <w:r>
        <w:t>HF 2206</w:t>
      </w:r>
      <w:r w:rsidR="003D4932">
        <w:t xml:space="preserve"> is particularly </w:t>
      </w:r>
      <w:r w:rsidR="003D4932">
        <w:rPr>
          <w:i/>
        </w:rPr>
        <w:t>important for the border regions</w:t>
      </w:r>
      <w:r w:rsidR="003D4932">
        <w:t xml:space="preserve"> which often have individuals licensed in the surrounding states requesting to be licensed in Minnesota.  </w:t>
      </w:r>
    </w:p>
    <w:p w:rsidR="002857F5" w:rsidRDefault="00754DAD" w:rsidP="005203F3">
      <w:pPr>
        <w:numPr>
          <w:ilvl w:val="0"/>
          <w:numId w:val="2"/>
        </w:numPr>
        <w:ind w:hanging="360"/>
        <w:jc w:val="both"/>
      </w:pPr>
      <w:r>
        <w:t xml:space="preserve">HF 2206 is </w:t>
      </w:r>
      <w:r w:rsidRPr="00754DAD">
        <w:rPr>
          <w:i/>
        </w:rPr>
        <w:t>budget neutral</w:t>
      </w:r>
      <w:r>
        <w:t>.  There is no cost to the Board</w:t>
      </w:r>
      <w:r w:rsidR="003D4932">
        <w:t xml:space="preserve"> </w:t>
      </w:r>
      <w:r w:rsidR="006F294A">
        <w:t>to implement the language.</w:t>
      </w:r>
    </w:p>
    <w:p w:rsidR="002857F5" w:rsidRDefault="002857F5" w:rsidP="005203F3">
      <w:pPr>
        <w:spacing w:after="0" w:line="259" w:lineRule="auto"/>
        <w:ind w:left="5" w:firstLine="0"/>
        <w:jc w:val="both"/>
      </w:pPr>
    </w:p>
    <w:p w:rsidR="002857F5" w:rsidRDefault="003D4932" w:rsidP="005203F3">
      <w:pPr>
        <w:spacing w:after="0" w:line="259" w:lineRule="auto"/>
        <w:ind w:left="-5" w:hanging="10"/>
        <w:jc w:val="both"/>
      </w:pPr>
      <w:r>
        <w:rPr>
          <w:b/>
        </w:rPr>
        <w:t xml:space="preserve">How does reciprocity benefit the license applicant? </w:t>
      </w:r>
      <w:r>
        <w:t xml:space="preserve"> </w:t>
      </w:r>
    </w:p>
    <w:p w:rsidR="002857F5" w:rsidRDefault="003D4932" w:rsidP="005203F3">
      <w:pPr>
        <w:spacing w:after="0" w:line="259" w:lineRule="auto"/>
        <w:ind w:left="5" w:firstLine="0"/>
        <w:jc w:val="both"/>
      </w:pPr>
      <w:r>
        <w:t xml:space="preserve"> </w:t>
      </w:r>
      <w:r>
        <w:rPr>
          <w:sz w:val="16"/>
        </w:rPr>
        <w:t xml:space="preserve"> </w:t>
      </w:r>
    </w:p>
    <w:p w:rsidR="002857F5" w:rsidRDefault="00E300A7" w:rsidP="005203F3">
      <w:pPr>
        <w:numPr>
          <w:ilvl w:val="0"/>
          <w:numId w:val="3"/>
        </w:numPr>
        <w:ind w:hanging="360"/>
        <w:jc w:val="both"/>
      </w:pPr>
      <w:r>
        <w:t>HF 2206</w:t>
      </w:r>
      <w:r w:rsidR="003D4932">
        <w:t xml:space="preserve"> is designed to </w:t>
      </w:r>
      <w:r w:rsidR="003D4932">
        <w:rPr>
          <w:i/>
        </w:rPr>
        <w:t>reduce barriers to obtaining licensure</w:t>
      </w:r>
      <w:r w:rsidR="003D4932">
        <w:t xml:space="preserve"> by applicants from other states without impacting quality of service or protection to the citizens of Minnesota. </w:t>
      </w:r>
    </w:p>
    <w:p w:rsidR="002857F5" w:rsidRDefault="003D4932" w:rsidP="005203F3">
      <w:pPr>
        <w:numPr>
          <w:ilvl w:val="0"/>
          <w:numId w:val="3"/>
        </w:numPr>
        <w:ind w:hanging="360"/>
        <w:jc w:val="both"/>
      </w:pPr>
      <w:r>
        <w:t xml:space="preserve">The bill is fashioned after similar bills in other states designed to move toward </w:t>
      </w:r>
      <w:r>
        <w:rPr>
          <w:i/>
        </w:rPr>
        <w:t xml:space="preserve">increased </w:t>
      </w:r>
      <w:r w:rsidR="00C64A37">
        <w:rPr>
          <w:i/>
        </w:rPr>
        <w:t xml:space="preserve">license </w:t>
      </w:r>
      <w:r>
        <w:rPr>
          <w:i/>
        </w:rPr>
        <w:t>portability</w:t>
      </w:r>
      <w:r w:rsidR="00C64A37">
        <w:t xml:space="preserve"> for</w:t>
      </w:r>
      <w:r>
        <w:t xml:space="preserve"> LPCCs, LPCs, and LADCs from state to state. Portability is considered to be the future of licensure models across multiple mental health disciplines. </w:t>
      </w:r>
    </w:p>
    <w:p w:rsidR="002857F5" w:rsidRDefault="00373E3C" w:rsidP="006F294A">
      <w:pPr>
        <w:spacing w:after="0" w:line="259" w:lineRule="auto"/>
        <w:ind w:left="8640" w:firstLine="0"/>
        <w:jc w:val="both"/>
      </w:pPr>
      <w:r>
        <w:rPr>
          <w:sz w:val="16"/>
        </w:rPr>
        <w:t>3.28</w:t>
      </w:r>
      <w:r w:rsidR="00B957FF">
        <w:rPr>
          <w:sz w:val="16"/>
        </w:rPr>
        <w:t>.2019</w:t>
      </w:r>
    </w:p>
    <w:p w:rsidR="002857F5" w:rsidRDefault="003D4932">
      <w:pPr>
        <w:spacing w:after="0" w:line="259" w:lineRule="auto"/>
        <w:ind w:left="165" w:firstLine="0"/>
        <w:jc w:val="center"/>
      </w:pPr>
      <w:r>
        <w:rPr>
          <w:noProof/>
        </w:rPr>
        <w:lastRenderedPageBreak/>
        <w:drawing>
          <wp:inline distT="0" distB="0" distL="0" distR="0">
            <wp:extent cx="3429000" cy="1374648"/>
            <wp:effectExtent l="0" t="0" r="0" b="0"/>
            <wp:docPr id="240" name="Picture 2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" name="Picture 24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1374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57F5" w:rsidRDefault="00E300A7">
      <w:pPr>
        <w:spacing w:after="0" w:line="259" w:lineRule="auto"/>
        <w:ind w:left="30" w:hanging="10"/>
        <w:jc w:val="center"/>
      </w:pPr>
      <w:r>
        <w:rPr>
          <w:b/>
          <w:sz w:val="26"/>
        </w:rPr>
        <w:t>HF 2206</w:t>
      </w:r>
      <w:r w:rsidR="003D4932">
        <w:rPr>
          <w:b/>
          <w:sz w:val="26"/>
        </w:rPr>
        <w:t xml:space="preserve"> Summary Sheet </w:t>
      </w:r>
      <w:r w:rsidR="003D4932">
        <w:t xml:space="preserve"> </w:t>
      </w:r>
    </w:p>
    <w:p w:rsidR="002857F5" w:rsidRDefault="003D4932">
      <w:pPr>
        <w:spacing w:after="0" w:line="259" w:lineRule="auto"/>
        <w:ind w:left="29" w:right="1" w:hanging="10"/>
        <w:jc w:val="center"/>
      </w:pPr>
      <w:r>
        <w:rPr>
          <w:sz w:val="26"/>
        </w:rPr>
        <w:t>Section</w:t>
      </w:r>
      <w:r w:rsidR="006F294A">
        <w:rPr>
          <w:sz w:val="26"/>
        </w:rPr>
        <w:t>s</w:t>
      </w:r>
      <w:r>
        <w:rPr>
          <w:sz w:val="26"/>
        </w:rPr>
        <w:t xml:space="preserve"> 2</w:t>
      </w:r>
      <w:r w:rsidR="006F294A">
        <w:rPr>
          <w:sz w:val="26"/>
        </w:rPr>
        <w:t>, 3 and 5</w:t>
      </w:r>
      <w:r>
        <w:rPr>
          <w:sz w:val="26"/>
        </w:rPr>
        <w:t xml:space="preserve">: </w:t>
      </w:r>
      <w:r w:rsidR="00856E09">
        <w:rPr>
          <w:sz w:val="26"/>
        </w:rPr>
        <w:t xml:space="preserve"> </w:t>
      </w:r>
      <w:r>
        <w:rPr>
          <w:sz w:val="26"/>
        </w:rPr>
        <w:t xml:space="preserve">Disclosure of Client Information in Duty to Warn Situations </w:t>
      </w:r>
      <w:r>
        <w:t xml:space="preserve"> </w:t>
      </w:r>
    </w:p>
    <w:p w:rsidR="002857F5" w:rsidRDefault="003D4932" w:rsidP="005203F3">
      <w:pPr>
        <w:spacing w:after="0" w:line="259" w:lineRule="auto"/>
        <w:ind w:left="-5" w:hanging="10"/>
        <w:jc w:val="both"/>
      </w:pPr>
      <w:r>
        <w:rPr>
          <w:b/>
        </w:rPr>
        <w:t>What is the purpose of</w:t>
      </w:r>
      <w:r w:rsidR="00AC5226">
        <w:rPr>
          <w:b/>
        </w:rPr>
        <w:t xml:space="preserve"> </w:t>
      </w:r>
      <w:r w:rsidR="00E300A7">
        <w:rPr>
          <w:b/>
        </w:rPr>
        <w:t>HF 2206</w:t>
      </w:r>
      <w:r w:rsidR="00B857F0">
        <w:rPr>
          <w:b/>
        </w:rPr>
        <w:t xml:space="preserve"> related</w:t>
      </w:r>
      <w:r>
        <w:rPr>
          <w:b/>
        </w:rPr>
        <w:t xml:space="preserve"> to the need to disclose client information? </w:t>
      </w:r>
      <w:r>
        <w:t xml:space="preserve"> </w:t>
      </w:r>
    </w:p>
    <w:p w:rsidR="002857F5" w:rsidRDefault="00E300A7" w:rsidP="00231276">
      <w:pPr>
        <w:spacing w:after="0" w:line="259" w:lineRule="auto"/>
        <w:ind w:left="5" w:firstLine="0"/>
        <w:jc w:val="both"/>
      </w:pPr>
      <w:r>
        <w:t>HF 2206</w:t>
      </w:r>
      <w:r w:rsidR="003D4932">
        <w:t xml:space="preserve"> expands the duty to warn provision of care to an individual who is under supervision as a</w:t>
      </w:r>
      <w:r w:rsidR="00CB6FFD">
        <w:t xml:space="preserve"> student or</w:t>
      </w:r>
      <w:r w:rsidR="003D4932">
        <w:t xml:space="preserve"> intern or in post-degree supervised practice to become a Licensed Professional Clinical Counselor (LPCC) or a Licensed Profe</w:t>
      </w:r>
      <w:r w:rsidR="00D70D16">
        <w:t>ssional Counselor (LPC) in the S</w:t>
      </w:r>
      <w:r w:rsidR="003D4932">
        <w:t xml:space="preserve">tate of Minnesota.  </w:t>
      </w:r>
      <w:r w:rsidR="008F4C2A">
        <w:t>This language already exists in statute for other mental health providers.</w:t>
      </w:r>
    </w:p>
    <w:p w:rsidR="002857F5" w:rsidRDefault="002857F5" w:rsidP="005203F3">
      <w:pPr>
        <w:spacing w:after="0" w:line="259" w:lineRule="auto"/>
        <w:ind w:left="5" w:firstLine="0"/>
        <w:jc w:val="both"/>
      </w:pPr>
    </w:p>
    <w:p w:rsidR="002857F5" w:rsidRDefault="003D4932" w:rsidP="005203F3">
      <w:pPr>
        <w:spacing w:after="0" w:line="259" w:lineRule="auto"/>
        <w:ind w:left="5" w:firstLine="0"/>
        <w:jc w:val="both"/>
      </w:pPr>
      <w:r>
        <w:rPr>
          <w:b/>
        </w:rPr>
        <w:t xml:space="preserve">What is </w:t>
      </w:r>
      <w:r>
        <w:rPr>
          <w:b/>
          <w:i/>
        </w:rPr>
        <w:t>duty to warn</w:t>
      </w:r>
      <w:r>
        <w:rPr>
          <w:b/>
        </w:rPr>
        <w:t xml:space="preserve">? </w:t>
      </w:r>
      <w:r>
        <w:t xml:space="preserve"> </w:t>
      </w:r>
    </w:p>
    <w:p w:rsidR="002857F5" w:rsidRDefault="003D4932" w:rsidP="005203F3">
      <w:pPr>
        <w:numPr>
          <w:ilvl w:val="0"/>
          <w:numId w:val="4"/>
        </w:numPr>
        <w:ind w:hanging="360"/>
        <w:jc w:val="both"/>
      </w:pPr>
      <w:r>
        <w:t xml:space="preserve">Duty to warn is a professional obligation granted by statute to certain professions to act in the best interest of </w:t>
      </w:r>
      <w:r w:rsidR="00D33AE2">
        <w:t>a client if the client</w:t>
      </w:r>
      <w:r w:rsidR="00CB6FFD">
        <w:t xml:space="preserve"> give</w:t>
      </w:r>
      <w:r w:rsidR="00D33AE2">
        <w:t>s</w:t>
      </w:r>
      <w:r w:rsidR="00CB6FFD">
        <w:t xml:space="preserve"> the provider</w:t>
      </w:r>
      <w:r>
        <w:t xml:space="preserve"> reasonable cause to believe that the client is </w:t>
      </w:r>
      <w:r w:rsidR="008F4C2A">
        <w:t xml:space="preserve">potentially harmful to </w:t>
      </w:r>
      <w:r>
        <w:t xml:space="preserve">self or others.  </w:t>
      </w:r>
    </w:p>
    <w:p w:rsidR="002857F5" w:rsidRDefault="003D4932" w:rsidP="005203F3">
      <w:pPr>
        <w:numPr>
          <w:ilvl w:val="0"/>
          <w:numId w:val="4"/>
        </w:numPr>
        <w:ind w:hanging="360"/>
        <w:jc w:val="both"/>
      </w:pPr>
      <w:r>
        <w:t>Duty to warn allow</w:t>
      </w:r>
      <w:r w:rsidR="00CB6FFD">
        <w:t>s a provider to disclose private information to other persons who can intervene with individuals</w:t>
      </w:r>
      <w:r>
        <w:t xml:space="preserve"> </w:t>
      </w:r>
      <w:r w:rsidR="00CB6FFD">
        <w:t xml:space="preserve">that the provider has </w:t>
      </w:r>
      <w:r>
        <w:t xml:space="preserve">determined to be potentially at risk.  </w:t>
      </w:r>
    </w:p>
    <w:p w:rsidR="002857F5" w:rsidRDefault="003D4932" w:rsidP="005203F3">
      <w:pPr>
        <w:spacing w:after="0" w:line="259" w:lineRule="auto"/>
        <w:ind w:left="5" w:firstLine="0"/>
        <w:jc w:val="both"/>
      </w:pPr>
      <w:r>
        <w:t xml:space="preserve"> </w:t>
      </w:r>
      <w:r>
        <w:rPr>
          <w:sz w:val="16"/>
        </w:rPr>
        <w:t xml:space="preserve"> </w:t>
      </w:r>
    </w:p>
    <w:p w:rsidR="00231276" w:rsidRDefault="003D4932" w:rsidP="00231276">
      <w:pPr>
        <w:spacing w:after="0" w:line="259" w:lineRule="auto"/>
        <w:ind w:left="-5" w:hanging="10"/>
        <w:jc w:val="both"/>
      </w:pPr>
      <w:r>
        <w:rPr>
          <w:b/>
        </w:rPr>
        <w:t xml:space="preserve">Why is this provision being added to the licensure responsibilities of LPCCs and LPCs? </w:t>
      </w:r>
      <w:r>
        <w:t xml:space="preserve"> </w:t>
      </w:r>
    </w:p>
    <w:p w:rsidR="002857F5" w:rsidRDefault="003D4932" w:rsidP="00231276">
      <w:pPr>
        <w:spacing w:after="0" w:line="259" w:lineRule="auto"/>
        <w:ind w:left="-5" w:hanging="10"/>
        <w:jc w:val="both"/>
      </w:pPr>
      <w:r>
        <w:t>In 2016, the Minnesota Legislature added to the duty to warn language for interns and those in post-degree practice under supervision preparing for the practices of Psychology, Marriage and Family Therapy, and Alcohol and Drug Counseling (</w:t>
      </w:r>
      <w:r w:rsidRPr="00B857F0">
        <w:rPr>
          <w:i/>
        </w:rPr>
        <w:t>see</w:t>
      </w:r>
      <w:r>
        <w:t xml:space="preserve"> Minnesota Statutes sections 148.975 [Psychology], 148B.1751</w:t>
      </w:r>
      <w:r w:rsidR="00CB6FFD">
        <w:t xml:space="preserve"> [Marriage and Family Therapy], </w:t>
      </w:r>
      <w:r>
        <w:t xml:space="preserve">and 148F.13 [Alcohol and Drug Counseling]). </w:t>
      </w:r>
      <w:r w:rsidR="00D70D16">
        <w:t xml:space="preserve"> </w:t>
      </w:r>
      <w:r w:rsidR="00CB6FFD">
        <w:t xml:space="preserve">Social work duty to warn language is found in 148E.240, </w:t>
      </w:r>
      <w:proofErr w:type="spellStart"/>
      <w:r w:rsidR="00CB6FFD">
        <w:t>subd</w:t>
      </w:r>
      <w:proofErr w:type="spellEnd"/>
      <w:r w:rsidR="00CB6FFD">
        <w:t xml:space="preserve">. 6 [Social Work interns and students are not currently included in the law].  </w:t>
      </w:r>
      <w:r>
        <w:t xml:space="preserve">Licensed Professional Clinical Counselors and Licensed Professional Counselors are </w:t>
      </w:r>
      <w:r w:rsidR="00D30AC5">
        <w:t xml:space="preserve">mental health providers that should be included in </w:t>
      </w:r>
      <w:r w:rsidR="00B857F0">
        <w:t>the duty to warn provisions, so all mental health providers are subject to the same requirements in the law.</w:t>
      </w:r>
      <w:r>
        <w:t xml:space="preserve"> </w:t>
      </w:r>
    </w:p>
    <w:p w:rsidR="002857F5" w:rsidRDefault="003D4932" w:rsidP="005203F3">
      <w:pPr>
        <w:spacing w:after="60" w:line="259" w:lineRule="auto"/>
        <w:ind w:left="5" w:firstLine="0"/>
        <w:jc w:val="both"/>
      </w:pPr>
      <w:r>
        <w:rPr>
          <w:sz w:val="16"/>
        </w:rPr>
        <w:t xml:space="preserve"> </w:t>
      </w:r>
    </w:p>
    <w:p w:rsidR="002857F5" w:rsidRDefault="003D4932" w:rsidP="005203F3">
      <w:pPr>
        <w:spacing w:after="0" w:line="259" w:lineRule="auto"/>
        <w:ind w:left="-5" w:hanging="10"/>
        <w:jc w:val="both"/>
      </w:pPr>
      <w:r>
        <w:rPr>
          <w:b/>
        </w:rPr>
        <w:t xml:space="preserve">How does this provision benefit the public? </w:t>
      </w:r>
      <w:r>
        <w:t xml:space="preserve"> </w:t>
      </w:r>
    </w:p>
    <w:p w:rsidR="002857F5" w:rsidRDefault="003D4932" w:rsidP="008E63F2">
      <w:pPr>
        <w:pStyle w:val="ListParagraph"/>
        <w:numPr>
          <w:ilvl w:val="0"/>
          <w:numId w:val="6"/>
        </w:numPr>
        <w:spacing w:after="0" w:line="259" w:lineRule="auto"/>
        <w:jc w:val="both"/>
      </w:pPr>
      <w:r>
        <w:t xml:space="preserve">Currently, supervised interns in </w:t>
      </w:r>
      <w:r w:rsidR="005F6838">
        <w:t xml:space="preserve">graduate </w:t>
      </w:r>
      <w:r>
        <w:t xml:space="preserve">programs </w:t>
      </w:r>
      <w:r w:rsidR="008E63F2" w:rsidRPr="008E63F2">
        <w:t xml:space="preserve">and post-master’s supervisees </w:t>
      </w:r>
      <w:r w:rsidR="008E63F2">
        <w:t xml:space="preserve">working </w:t>
      </w:r>
      <w:r>
        <w:t xml:space="preserve">to become LPCCs and LPCs are not specifically identified as individuals with </w:t>
      </w:r>
      <w:r w:rsidR="00231276">
        <w:t xml:space="preserve">the </w:t>
      </w:r>
      <w:r>
        <w:t xml:space="preserve">duty to warn designation.   </w:t>
      </w:r>
    </w:p>
    <w:p w:rsidR="00B857F0" w:rsidRDefault="008E63F2" w:rsidP="00B857F0">
      <w:pPr>
        <w:pStyle w:val="ListParagraph"/>
        <w:numPr>
          <w:ilvl w:val="0"/>
          <w:numId w:val="6"/>
        </w:numPr>
        <w:spacing w:after="0" w:line="259" w:lineRule="auto"/>
        <w:jc w:val="both"/>
      </w:pPr>
      <w:r>
        <w:t>Unless the law</w:t>
      </w:r>
      <w:r w:rsidR="00B857F0" w:rsidRPr="00B857F0">
        <w:t xml:space="preserve"> is changed, only supervisors of LPCC and LPC interns and those in post-degree practice are legally allowed to act in duty to warn instances, not the interns or supervisees alone.  </w:t>
      </w:r>
    </w:p>
    <w:p w:rsidR="002857F5" w:rsidRDefault="003D4932" w:rsidP="00B857F0">
      <w:pPr>
        <w:pStyle w:val="ListParagraph"/>
        <w:numPr>
          <w:ilvl w:val="0"/>
          <w:numId w:val="6"/>
        </w:numPr>
        <w:spacing w:after="0" w:line="259" w:lineRule="auto"/>
        <w:jc w:val="both"/>
      </w:pPr>
      <w:r>
        <w:t xml:space="preserve">Adding LPCC and LPC licensees, applicants, interns, and those in post-degree practice under supervision to the duty to warn designation </w:t>
      </w:r>
      <w:r w:rsidR="00D33AE2">
        <w:t>completes the law currently in place and protects these providers</w:t>
      </w:r>
      <w:r>
        <w:t xml:space="preserve"> from monetary liability arising out of good faith actions on behalf of their clients.  </w:t>
      </w:r>
    </w:p>
    <w:p w:rsidR="00B857F0" w:rsidRDefault="00B857F0" w:rsidP="00B857F0">
      <w:pPr>
        <w:pStyle w:val="ListParagraph"/>
        <w:numPr>
          <w:ilvl w:val="0"/>
          <w:numId w:val="6"/>
        </w:numPr>
        <w:spacing w:after="0" w:line="259" w:lineRule="auto"/>
        <w:jc w:val="both"/>
      </w:pPr>
      <w:r w:rsidRPr="00B857F0">
        <w:t>Sections 2, 3, and 5 are budget neutral.  There is no cost to implement these technical changes to the law.</w:t>
      </w:r>
    </w:p>
    <w:sectPr w:rsidR="00B857F0">
      <w:pgSz w:w="12240" w:h="15840"/>
      <w:pgMar w:top="442" w:right="1432" w:bottom="733" w:left="144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C2656F"/>
    <w:multiLevelType w:val="hybridMultilevel"/>
    <w:tmpl w:val="42DA137A"/>
    <w:lvl w:ilvl="0" w:tplc="741824B8">
      <w:start w:val="1"/>
      <w:numFmt w:val="decimal"/>
      <w:lvlText w:val="%1."/>
      <w:lvlJc w:val="left"/>
      <w:pPr>
        <w:ind w:left="7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25A4E64">
      <w:start w:val="1"/>
      <w:numFmt w:val="lowerLetter"/>
      <w:lvlText w:val="%2"/>
      <w:lvlJc w:val="left"/>
      <w:pPr>
        <w:ind w:left="14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D364234">
      <w:start w:val="1"/>
      <w:numFmt w:val="lowerRoman"/>
      <w:lvlText w:val="%3"/>
      <w:lvlJc w:val="left"/>
      <w:pPr>
        <w:ind w:left="21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83A3B22">
      <w:start w:val="1"/>
      <w:numFmt w:val="decimal"/>
      <w:lvlText w:val="%4"/>
      <w:lvlJc w:val="left"/>
      <w:pPr>
        <w:ind w:left="28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723A32">
      <w:start w:val="1"/>
      <w:numFmt w:val="lowerLetter"/>
      <w:lvlText w:val="%5"/>
      <w:lvlJc w:val="left"/>
      <w:pPr>
        <w:ind w:left="36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22C7612">
      <w:start w:val="1"/>
      <w:numFmt w:val="lowerRoman"/>
      <w:lvlText w:val="%6"/>
      <w:lvlJc w:val="left"/>
      <w:pPr>
        <w:ind w:left="43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368865C">
      <w:start w:val="1"/>
      <w:numFmt w:val="decimal"/>
      <w:lvlText w:val="%7"/>
      <w:lvlJc w:val="left"/>
      <w:pPr>
        <w:ind w:left="50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59801FE">
      <w:start w:val="1"/>
      <w:numFmt w:val="lowerLetter"/>
      <w:lvlText w:val="%8"/>
      <w:lvlJc w:val="left"/>
      <w:pPr>
        <w:ind w:left="57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9C9ABA">
      <w:start w:val="1"/>
      <w:numFmt w:val="lowerRoman"/>
      <w:lvlText w:val="%9"/>
      <w:lvlJc w:val="left"/>
      <w:pPr>
        <w:ind w:left="64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F275217"/>
    <w:multiLevelType w:val="hybridMultilevel"/>
    <w:tmpl w:val="E6526EBE"/>
    <w:lvl w:ilvl="0" w:tplc="040CBE80">
      <w:start w:val="1"/>
      <w:numFmt w:val="decimal"/>
      <w:lvlText w:val="%1."/>
      <w:lvlJc w:val="left"/>
      <w:pPr>
        <w:ind w:left="7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91C7F82">
      <w:start w:val="1"/>
      <w:numFmt w:val="lowerLetter"/>
      <w:lvlText w:val="%2"/>
      <w:lvlJc w:val="left"/>
      <w:pPr>
        <w:ind w:left="14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B30ED38">
      <w:start w:val="1"/>
      <w:numFmt w:val="lowerRoman"/>
      <w:lvlText w:val="%3"/>
      <w:lvlJc w:val="left"/>
      <w:pPr>
        <w:ind w:left="21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1E46D86">
      <w:start w:val="1"/>
      <w:numFmt w:val="decimal"/>
      <w:lvlText w:val="%4"/>
      <w:lvlJc w:val="left"/>
      <w:pPr>
        <w:ind w:left="28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95A18CC">
      <w:start w:val="1"/>
      <w:numFmt w:val="lowerLetter"/>
      <w:lvlText w:val="%5"/>
      <w:lvlJc w:val="left"/>
      <w:pPr>
        <w:ind w:left="36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7C60808">
      <w:start w:val="1"/>
      <w:numFmt w:val="lowerRoman"/>
      <w:lvlText w:val="%6"/>
      <w:lvlJc w:val="left"/>
      <w:pPr>
        <w:ind w:left="43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0103012">
      <w:start w:val="1"/>
      <w:numFmt w:val="decimal"/>
      <w:lvlText w:val="%7"/>
      <w:lvlJc w:val="left"/>
      <w:pPr>
        <w:ind w:left="50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7840830">
      <w:start w:val="1"/>
      <w:numFmt w:val="lowerLetter"/>
      <w:lvlText w:val="%8"/>
      <w:lvlJc w:val="left"/>
      <w:pPr>
        <w:ind w:left="57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858D9E8">
      <w:start w:val="1"/>
      <w:numFmt w:val="lowerRoman"/>
      <w:lvlText w:val="%9"/>
      <w:lvlJc w:val="left"/>
      <w:pPr>
        <w:ind w:left="64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4BC6D4F"/>
    <w:multiLevelType w:val="hybridMultilevel"/>
    <w:tmpl w:val="795893DC"/>
    <w:lvl w:ilvl="0" w:tplc="F43401F4">
      <w:start w:val="1"/>
      <w:numFmt w:val="decimal"/>
      <w:lvlText w:val="%1."/>
      <w:lvlJc w:val="left"/>
      <w:pPr>
        <w:ind w:left="7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E42F82A">
      <w:start w:val="1"/>
      <w:numFmt w:val="lowerLetter"/>
      <w:lvlText w:val="%2"/>
      <w:lvlJc w:val="left"/>
      <w:pPr>
        <w:ind w:left="14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786AE5C">
      <w:start w:val="1"/>
      <w:numFmt w:val="lowerRoman"/>
      <w:lvlText w:val="%3"/>
      <w:lvlJc w:val="left"/>
      <w:pPr>
        <w:ind w:left="21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C78A4D4">
      <w:start w:val="1"/>
      <w:numFmt w:val="decimal"/>
      <w:lvlText w:val="%4"/>
      <w:lvlJc w:val="left"/>
      <w:pPr>
        <w:ind w:left="28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16448A8">
      <w:start w:val="1"/>
      <w:numFmt w:val="lowerLetter"/>
      <w:lvlText w:val="%5"/>
      <w:lvlJc w:val="left"/>
      <w:pPr>
        <w:ind w:left="35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35202E8">
      <w:start w:val="1"/>
      <w:numFmt w:val="lowerRoman"/>
      <w:lvlText w:val="%6"/>
      <w:lvlJc w:val="left"/>
      <w:pPr>
        <w:ind w:left="43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BA29D02">
      <w:start w:val="1"/>
      <w:numFmt w:val="decimal"/>
      <w:lvlText w:val="%7"/>
      <w:lvlJc w:val="left"/>
      <w:pPr>
        <w:ind w:left="50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B32EA64">
      <w:start w:val="1"/>
      <w:numFmt w:val="lowerLetter"/>
      <w:lvlText w:val="%8"/>
      <w:lvlJc w:val="left"/>
      <w:pPr>
        <w:ind w:left="57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52CC906">
      <w:start w:val="1"/>
      <w:numFmt w:val="lowerRoman"/>
      <w:lvlText w:val="%9"/>
      <w:lvlJc w:val="left"/>
      <w:pPr>
        <w:ind w:left="64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02F7132"/>
    <w:multiLevelType w:val="hybridMultilevel"/>
    <w:tmpl w:val="B44A093A"/>
    <w:lvl w:ilvl="0" w:tplc="656C72FE">
      <w:start w:val="1"/>
      <w:numFmt w:val="decimal"/>
      <w:lvlText w:val="%1."/>
      <w:lvlJc w:val="left"/>
      <w:pPr>
        <w:ind w:left="7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AEB7E8">
      <w:start w:val="1"/>
      <w:numFmt w:val="lowerLetter"/>
      <w:lvlText w:val="%2"/>
      <w:lvlJc w:val="left"/>
      <w:pPr>
        <w:ind w:left="14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E46E36A">
      <w:start w:val="1"/>
      <w:numFmt w:val="lowerRoman"/>
      <w:lvlText w:val="%3"/>
      <w:lvlJc w:val="left"/>
      <w:pPr>
        <w:ind w:left="21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9EC90A0">
      <w:start w:val="1"/>
      <w:numFmt w:val="decimal"/>
      <w:lvlText w:val="%4"/>
      <w:lvlJc w:val="left"/>
      <w:pPr>
        <w:ind w:left="28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8CC598">
      <w:start w:val="1"/>
      <w:numFmt w:val="lowerLetter"/>
      <w:lvlText w:val="%5"/>
      <w:lvlJc w:val="left"/>
      <w:pPr>
        <w:ind w:left="36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84C73C0">
      <w:start w:val="1"/>
      <w:numFmt w:val="lowerRoman"/>
      <w:lvlText w:val="%6"/>
      <w:lvlJc w:val="left"/>
      <w:pPr>
        <w:ind w:left="43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C542E02">
      <w:start w:val="1"/>
      <w:numFmt w:val="decimal"/>
      <w:lvlText w:val="%7"/>
      <w:lvlJc w:val="left"/>
      <w:pPr>
        <w:ind w:left="50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5F802F4">
      <w:start w:val="1"/>
      <w:numFmt w:val="lowerLetter"/>
      <w:lvlText w:val="%8"/>
      <w:lvlJc w:val="left"/>
      <w:pPr>
        <w:ind w:left="57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A9EF294">
      <w:start w:val="1"/>
      <w:numFmt w:val="lowerRoman"/>
      <w:lvlText w:val="%9"/>
      <w:lvlJc w:val="left"/>
      <w:pPr>
        <w:ind w:left="64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4145B97"/>
    <w:multiLevelType w:val="hybridMultilevel"/>
    <w:tmpl w:val="DAB05608"/>
    <w:lvl w:ilvl="0" w:tplc="C7245386">
      <w:start w:val="1"/>
      <w:numFmt w:val="decimal"/>
      <w:lvlText w:val="%1."/>
      <w:lvlJc w:val="left"/>
      <w:pPr>
        <w:ind w:left="7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CCD018">
      <w:start w:val="1"/>
      <w:numFmt w:val="lowerLetter"/>
      <w:lvlText w:val="%2"/>
      <w:lvlJc w:val="left"/>
      <w:pPr>
        <w:ind w:left="14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0E83728">
      <w:start w:val="1"/>
      <w:numFmt w:val="lowerRoman"/>
      <w:lvlText w:val="%3"/>
      <w:lvlJc w:val="left"/>
      <w:pPr>
        <w:ind w:left="21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AB6997E">
      <w:start w:val="1"/>
      <w:numFmt w:val="decimal"/>
      <w:lvlText w:val="%4"/>
      <w:lvlJc w:val="left"/>
      <w:pPr>
        <w:ind w:left="28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B365F12">
      <w:start w:val="1"/>
      <w:numFmt w:val="lowerLetter"/>
      <w:lvlText w:val="%5"/>
      <w:lvlJc w:val="left"/>
      <w:pPr>
        <w:ind w:left="36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982881A">
      <w:start w:val="1"/>
      <w:numFmt w:val="lowerRoman"/>
      <w:lvlText w:val="%6"/>
      <w:lvlJc w:val="left"/>
      <w:pPr>
        <w:ind w:left="43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24B86A">
      <w:start w:val="1"/>
      <w:numFmt w:val="decimal"/>
      <w:lvlText w:val="%7"/>
      <w:lvlJc w:val="left"/>
      <w:pPr>
        <w:ind w:left="50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D842222">
      <w:start w:val="1"/>
      <w:numFmt w:val="lowerLetter"/>
      <w:lvlText w:val="%8"/>
      <w:lvlJc w:val="left"/>
      <w:pPr>
        <w:ind w:left="57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A269C7A">
      <w:start w:val="1"/>
      <w:numFmt w:val="lowerRoman"/>
      <w:lvlText w:val="%9"/>
      <w:lvlJc w:val="left"/>
      <w:pPr>
        <w:ind w:left="64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9A64F08"/>
    <w:multiLevelType w:val="hybridMultilevel"/>
    <w:tmpl w:val="57DAC9E6"/>
    <w:lvl w:ilvl="0" w:tplc="0409000F">
      <w:start w:val="1"/>
      <w:numFmt w:val="decimal"/>
      <w:lvlText w:val="%1."/>
      <w:lvlJc w:val="left"/>
      <w:pPr>
        <w:ind w:left="725" w:hanging="360"/>
      </w:pPr>
    </w:lvl>
    <w:lvl w:ilvl="1" w:tplc="04090019" w:tentative="1">
      <w:start w:val="1"/>
      <w:numFmt w:val="lowerLetter"/>
      <w:lvlText w:val="%2."/>
      <w:lvlJc w:val="left"/>
      <w:pPr>
        <w:ind w:left="1445" w:hanging="360"/>
      </w:pPr>
    </w:lvl>
    <w:lvl w:ilvl="2" w:tplc="0409001B" w:tentative="1">
      <w:start w:val="1"/>
      <w:numFmt w:val="lowerRoman"/>
      <w:lvlText w:val="%3."/>
      <w:lvlJc w:val="right"/>
      <w:pPr>
        <w:ind w:left="2165" w:hanging="180"/>
      </w:pPr>
    </w:lvl>
    <w:lvl w:ilvl="3" w:tplc="0409000F" w:tentative="1">
      <w:start w:val="1"/>
      <w:numFmt w:val="decimal"/>
      <w:lvlText w:val="%4."/>
      <w:lvlJc w:val="left"/>
      <w:pPr>
        <w:ind w:left="2885" w:hanging="360"/>
      </w:pPr>
    </w:lvl>
    <w:lvl w:ilvl="4" w:tplc="04090019" w:tentative="1">
      <w:start w:val="1"/>
      <w:numFmt w:val="lowerLetter"/>
      <w:lvlText w:val="%5."/>
      <w:lvlJc w:val="left"/>
      <w:pPr>
        <w:ind w:left="3605" w:hanging="360"/>
      </w:pPr>
    </w:lvl>
    <w:lvl w:ilvl="5" w:tplc="0409001B" w:tentative="1">
      <w:start w:val="1"/>
      <w:numFmt w:val="lowerRoman"/>
      <w:lvlText w:val="%6."/>
      <w:lvlJc w:val="right"/>
      <w:pPr>
        <w:ind w:left="4325" w:hanging="180"/>
      </w:pPr>
    </w:lvl>
    <w:lvl w:ilvl="6" w:tplc="0409000F" w:tentative="1">
      <w:start w:val="1"/>
      <w:numFmt w:val="decimal"/>
      <w:lvlText w:val="%7."/>
      <w:lvlJc w:val="left"/>
      <w:pPr>
        <w:ind w:left="5045" w:hanging="360"/>
      </w:pPr>
    </w:lvl>
    <w:lvl w:ilvl="7" w:tplc="04090019" w:tentative="1">
      <w:start w:val="1"/>
      <w:numFmt w:val="lowerLetter"/>
      <w:lvlText w:val="%8."/>
      <w:lvlJc w:val="left"/>
      <w:pPr>
        <w:ind w:left="5765" w:hanging="360"/>
      </w:pPr>
    </w:lvl>
    <w:lvl w:ilvl="8" w:tplc="0409001B" w:tentative="1">
      <w:start w:val="1"/>
      <w:numFmt w:val="lowerRoman"/>
      <w:lvlText w:val="%9."/>
      <w:lvlJc w:val="right"/>
      <w:pPr>
        <w:ind w:left="6485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7F5"/>
    <w:rsid w:val="00014205"/>
    <w:rsid w:val="00231276"/>
    <w:rsid w:val="002857F5"/>
    <w:rsid w:val="00311F87"/>
    <w:rsid w:val="00373E3C"/>
    <w:rsid w:val="003D4932"/>
    <w:rsid w:val="005203F3"/>
    <w:rsid w:val="00526857"/>
    <w:rsid w:val="005F6838"/>
    <w:rsid w:val="006C015A"/>
    <w:rsid w:val="006F294A"/>
    <w:rsid w:val="00754DAD"/>
    <w:rsid w:val="00856E09"/>
    <w:rsid w:val="008E63F2"/>
    <w:rsid w:val="008F4C2A"/>
    <w:rsid w:val="00AC5226"/>
    <w:rsid w:val="00B857F0"/>
    <w:rsid w:val="00B957FF"/>
    <w:rsid w:val="00BC06EB"/>
    <w:rsid w:val="00BF661D"/>
    <w:rsid w:val="00C64A37"/>
    <w:rsid w:val="00CB6FFD"/>
    <w:rsid w:val="00D02845"/>
    <w:rsid w:val="00D30AC5"/>
    <w:rsid w:val="00D33AE2"/>
    <w:rsid w:val="00D70D16"/>
    <w:rsid w:val="00E30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8AA963E-4DEA-4A2D-91C1-2B0BCBCA0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5" w:line="248" w:lineRule="auto"/>
      <w:ind w:left="735" w:hanging="370"/>
    </w:pPr>
    <w:rPr>
      <w:rFonts w:ascii="Calibri" w:eastAsia="Calibri" w:hAnsi="Calibri" w:cs="Calibri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0A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0AC5"/>
    <w:rPr>
      <w:rFonts w:ascii="Segoe UI" w:eastAsia="Calibri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B857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89C66-4EE3-45FA-9C8F-71D9B34AF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790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SF 1677 Summary Sheet-Final Version.docx</vt:lpstr>
    </vt:vector>
  </TitlesOfParts>
  <Company>State of Minnesota</Company>
  <LinksUpToDate>false</LinksUpToDate>
  <CharactersWithSpaces>5289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SF 1677 Summary Sheet-Final Version.docx</dc:title>
  <dc:subject/>
  <dc:creator>Rechtzigel, Kari (HLB)</dc:creator>
  <cp:keywords/>
  <cp:lastModifiedBy>DFLUser</cp:lastModifiedBy>
  <cp:revision>2</cp:revision>
  <cp:lastPrinted>2019-02-04T19:16:00Z</cp:lastPrinted>
  <dcterms:created xsi:type="dcterms:W3CDTF">2019-03-26T22:57:00Z</dcterms:created>
  <dcterms:modified xsi:type="dcterms:W3CDTF">2019-03-26T22:57:00Z</dcterms:modified>
</cp:coreProperties>
</file>