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07" w:rsidRDefault="00DE3607">
      <w:pPr>
        <w:tabs>
          <w:tab w:val="left" w:pos="0"/>
          <w:tab w:val="left" w:pos="1980"/>
          <w:tab w:val="left" w:pos="2340"/>
          <w:tab w:val="left" w:pos="2700"/>
          <w:tab w:val="left" w:pos="3060"/>
        </w:tabs>
        <w:ind w:right="360"/>
      </w:pPr>
    </w:p>
    <w:p w:rsidR="00DE3607" w:rsidRDefault="00DE3607">
      <w:pPr>
        <w:tabs>
          <w:tab w:val="left" w:pos="0"/>
          <w:tab w:val="left" w:pos="1980"/>
          <w:tab w:val="left" w:pos="2340"/>
          <w:tab w:val="left" w:pos="2700"/>
          <w:tab w:val="left" w:pos="3060"/>
        </w:tabs>
        <w:ind w:right="360"/>
        <w:jc w:val="center"/>
        <w:rPr>
          <w:sz w:val="56"/>
        </w:rPr>
      </w:pPr>
    </w:p>
    <w:p w:rsidR="00DE3607" w:rsidRDefault="001B4D2A">
      <w:pPr>
        <w:tabs>
          <w:tab w:val="left" w:pos="0"/>
          <w:tab w:val="left" w:pos="1980"/>
          <w:tab w:val="left" w:pos="2340"/>
          <w:tab w:val="left" w:pos="2700"/>
          <w:tab w:val="left" w:pos="3060"/>
        </w:tabs>
        <w:ind w:right="360"/>
        <w:jc w:val="center"/>
        <w:rPr>
          <w:sz w:val="56"/>
        </w:rPr>
      </w:pPr>
      <w:r>
        <w:rPr>
          <w:sz w:val="56"/>
        </w:rPr>
        <w:t>Bill Comparison Summary of</w:t>
      </w:r>
    </w:p>
    <w:p w:rsidR="00DE3607" w:rsidRDefault="001B4D2A">
      <w:pPr>
        <w:tabs>
          <w:tab w:val="left" w:pos="0"/>
          <w:tab w:val="left" w:pos="1980"/>
          <w:tab w:val="left" w:pos="2340"/>
          <w:tab w:val="left" w:pos="2700"/>
          <w:tab w:val="left" w:pos="3060"/>
        </w:tabs>
        <w:ind w:right="360"/>
        <w:jc w:val="center"/>
      </w:pPr>
      <w:r>
        <w:rPr>
          <w:sz w:val="56"/>
        </w:rPr>
        <w:t xml:space="preserve">House File </w:t>
      </w:r>
      <w:r w:rsidR="007F001A">
        <w:rPr>
          <w:sz w:val="56"/>
        </w:rPr>
        <w:t>2576-6</w:t>
      </w:r>
      <w:r>
        <w:rPr>
          <w:sz w:val="56"/>
        </w:rPr>
        <w:t xml:space="preserve">/Senate File </w:t>
      </w:r>
      <w:r w:rsidR="007F001A">
        <w:rPr>
          <w:sz w:val="56"/>
        </w:rPr>
        <w:t>UEH2576-1</w:t>
      </w:r>
    </w:p>
    <w:p w:rsidR="00DE3607" w:rsidRDefault="00DE3607">
      <w:pPr>
        <w:tabs>
          <w:tab w:val="left" w:pos="0"/>
          <w:tab w:val="left" w:pos="1980"/>
          <w:tab w:val="left" w:pos="2340"/>
          <w:tab w:val="left" w:pos="2700"/>
          <w:tab w:val="left" w:pos="3060"/>
        </w:tabs>
        <w:ind w:right="360"/>
      </w:pPr>
    </w:p>
    <w:p w:rsidR="00DE3607" w:rsidRDefault="001B4D2A">
      <w:pPr>
        <w:tabs>
          <w:tab w:val="left" w:pos="0"/>
          <w:tab w:val="left" w:pos="1980"/>
          <w:tab w:val="left" w:pos="2340"/>
          <w:tab w:val="left" w:pos="2700"/>
          <w:tab w:val="left" w:pos="3060"/>
        </w:tabs>
        <w:spacing w:after="0"/>
        <w:ind w:right="360"/>
        <w:jc w:val="center"/>
        <w:rPr>
          <w:sz w:val="28"/>
        </w:rPr>
      </w:pPr>
      <w:r>
        <w:rPr>
          <w:sz w:val="28"/>
        </w:rPr>
        <w:t>Prepared by:</w:t>
      </w:r>
    </w:p>
    <w:p w:rsidR="00DE3607" w:rsidRDefault="001B4D2A">
      <w:pPr>
        <w:tabs>
          <w:tab w:val="left" w:pos="0"/>
          <w:tab w:val="left" w:pos="1980"/>
          <w:tab w:val="left" w:pos="2340"/>
          <w:tab w:val="left" w:pos="2700"/>
          <w:tab w:val="left" w:pos="3060"/>
        </w:tabs>
        <w:ind w:right="360"/>
        <w:jc w:val="center"/>
        <w:rPr>
          <w:sz w:val="28"/>
        </w:rPr>
      </w:pPr>
      <w:r>
        <w:rPr>
          <w:sz w:val="28"/>
        </w:rPr>
        <w:t>House Research and Senate Counsel, Research and Fiscal Analysis</w:t>
      </w:r>
    </w:p>
    <w:p w:rsidR="00DE3607" w:rsidRDefault="00DE3607">
      <w:pPr>
        <w:tabs>
          <w:tab w:val="left" w:pos="0"/>
          <w:tab w:val="left" w:pos="1980"/>
          <w:tab w:val="left" w:pos="2340"/>
          <w:tab w:val="left" w:pos="2700"/>
          <w:tab w:val="left" w:pos="3060"/>
        </w:tabs>
        <w:ind w:right="360"/>
        <w:jc w:val="center"/>
        <w:rPr>
          <w:sz w:val="28"/>
        </w:rPr>
      </w:pPr>
    </w:p>
    <w:p w:rsidR="00DE3607" w:rsidRDefault="007F001A">
      <w:pPr>
        <w:tabs>
          <w:tab w:val="left" w:pos="0"/>
          <w:tab w:val="left" w:pos="1980"/>
          <w:tab w:val="left" w:pos="2340"/>
          <w:tab w:val="left" w:pos="2700"/>
          <w:tab w:val="left" w:pos="3060"/>
        </w:tabs>
        <w:ind w:right="360"/>
        <w:jc w:val="center"/>
        <w:rPr>
          <w:sz w:val="28"/>
        </w:rPr>
      </w:pPr>
      <w:r>
        <w:rPr>
          <w:sz w:val="28"/>
        </w:rPr>
        <w:t>April 30, 2014</w:t>
      </w:r>
    </w:p>
    <w:p w:rsidR="00DE3607" w:rsidRDefault="00DE3607">
      <w:pPr>
        <w:tabs>
          <w:tab w:val="left" w:pos="0"/>
          <w:tab w:val="left" w:pos="1980"/>
          <w:tab w:val="left" w:pos="2340"/>
          <w:tab w:val="left" w:pos="2700"/>
          <w:tab w:val="left" w:pos="3060"/>
        </w:tabs>
        <w:ind w:right="360"/>
        <w:jc w:val="center"/>
      </w:pPr>
    </w:p>
    <w:p w:rsidR="00DE3607" w:rsidRDefault="00DE3607">
      <w:pPr>
        <w:tabs>
          <w:tab w:val="left" w:pos="1980"/>
          <w:tab w:val="left" w:pos="2340"/>
          <w:tab w:val="left" w:pos="2700"/>
          <w:tab w:val="left" w:pos="3060"/>
          <w:tab w:val="left" w:pos="4680"/>
        </w:tabs>
        <w:spacing w:after="0"/>
        <w:ind w:left="4680" w:right="4910"/>
      </w:pPr>
    </w:p>
    <w:p w:rsidR="00DE3607" w:rsidRDefault="00DE3607">
      <w:pPr>
        <w:tabs>
          <w:tab w:val="left" w:pos="0"/>
          <w:tab w:val="left" w:pos="1980"/>
          <w:tab w:val="left" w:pos="2340"/>
          <w:tab w:val="left" w:pos="2700"/>
          <w:tab w:val="left" w:pos="3060"/>
        </w:tabs>
        <w:ind w:right="360"/>
      </w:pPr>
    </w:p>
    <w:p w:rsidR="00DE3607" w:rsidRDefault="00DE3607">
      <w:pPr>
        <w:tabs>
          <w:tab w:val="left" w:pos="0"/>
          <w:tab w:val="left" w:pos="1980"/>
          <w:tab w:val="left" w:pos="2340"/>
          <w:tab w:val="left" w:pos="2700"/>
          <w:tab w:val="left" w:pos="3060"/>
        </w:tabs>
        <w:ind w:right="360"/>
      </w:pPr>
    </w:p>
    <w:p w:rsidR="00DE3607" w:rsidRDefault="00DE3607">
      <w:pPr>
        <w:tabs>
          <w:tab w:val="left" w:pos="0"/>
          <w:tab w:val="left" w:pos="1980"/>
          <w:tab w:val="left" w:pos="2340"/>
          <w:tab w:val="left" w:pos="2700"/>
          <w:tab w:val="left" w:pos="3060"/>
        </w:tabs>
        <w:ind w:right="360"/>
      </w:pPr>
    </w:p>
    <w:p w:rsidR="00DE3607" w:rsidRDefault="00DE3607">
      <w:pPr>
        <w:tabs>
          <w:tab w:val="left" w:pos="0"/>
          <w:tab w:val="left" w:pos="1980"/>
          <w:tab w:val="left" w:pos="2340"/>
          <w:tab w:val="left" w:pos="2700"/>
          <w:tab w:val="left" w:pos="3060"/>
        </w:tabs>
        <w:ind w:right="360"/>
        <w:sectPr w:rsidR="00DE3607">
          <w:headerReference w:type="default" r:id="rId7"/>
          <w:footerReference w:type="default" r:id="rId8"/>
          <w:footerReference w:type="first" r:id="rId9"/>
          <w:pgSz w:w="20160" w:h="12240" w:orient="landscape" w:code="5"/>
          <w:pgMar w:top="720" w:right="720" w:bottom="720" w:left="1008" w:header="720" w:footer="288" w:gutter="0"/>
          <w:pgNumType w:start="1"/>
          <w:cols w:space="720"/>
          <w:titlePg/>
        </w:sectPr>
      </w:pPr>
    </w:p>
    <w:tbl>
      <w:tblPr>
        <w:tblW w:w="1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tblPr>
      <w:tblGrid>
        <w:gridCol w:w="599"/>
        <w:gridCol w:w="8909"/>
        <w:gridCol w:w="9180"/>
      </w:tblGrid>
      <w:tr w:rsidR="007F001A" w:rsidTr="00C37C13">
        <w:trPr>
          <w:tblHeader/>
        </w:trPr>
        <w:tc>
          <w:tcPr>
            <w:tcW w:w="599" w:type="dxa"/>
            <w:shd w:val="clear" w:color="auto" w:fill="CCCCCC"/>
            <w:tcMar>
              <w:right w:w="43" w:type="dxa"/>
            </w:tcMar>
            <w:vAlign w:val="center"/>
          </w:tcPr>
          <w:p w:rsidR="007F001A" w:rsidRDefault="007F001A" w:rsidP="00C37C13">
            <w:pPr>
              <w:pStyle w:val="Sectionnumber"/>
              <w:numPr>
                <w:ilvl w:val="0"/>
                <w:numId w:val="0"/>
              </w:numPr>
            </w:pPr>
            <w:r>
              <w:lastRenderedPageBreak/>
              <w:t>Sec.</w:t>
            </w:r>
          </w:p>
        </w:tc>
        <w:tc>
          <w:tcPr>
            <w:tcW w:w="8909" w:type="dxa"/>
            <w:shd w:val="clear" w:color="auto" w:fill="CCCCCC"/>
            <w:vAlign w:val="center"/>
          </w:tcPr>
          <w:p w:rsidR="007F001A" w:rsidRDefault="007F001A" w:rsidP="00C37C13">
            <w:pPr>
              <w:pStyle w:val="Heading1"/>
            </w:pPr>
          </w:p>
        </w:tc>
        <w:tc>
          <w:tcPr>
            <w:tcW w:w="9180" w:type="dxa"/>
            <w:shd w:val="clear" w:color="auto" w:fill="CCCCCC"/>
            <w:vAlign w:val="center"/>
          </w:tcPr>
          <w:p w:rsidR="007F001A" w:rsidRDefault="007F001A" w:rsidP="00C37C13">
            <w:pPr>
              <w:pStyle w:val="Sectionnumber"/>
              <w:numPr>
                <w:ilvl w:val="0"/>
                <w:numId w:val="0"/>
              </w:numPr>
              <w:ind w:right="5"/>
              <w:rPr>
                <w:bCs/>
              </w:rPr>
            </w:pP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A71DF3" w:rsidRDefault="007F001A" w:rsidP="00C37C13">
            <w:pPr>
              <w:pStyle w:val="Sectionnumber"/>
              <w:numPr>
                <w:ilvl w:val="0"/>
                <w:numId w:val="0"/>
              </w:numPr>
              <w:rPr>
                <w:b w:val="0"/>
                <w:bCs/>
                <w:szCs w:val="24"/>
              </w:rPr>
            </w:pPr>
            <w:r>
              <w:rPr>
                <w:bCs/>
                <w:szCs w:val="24"/>
              </w:rPr>
              <w:t>Classification of certain data.</w:t>
            </w:r>
            <w:r>
              <w:rPr>
                <w:b w:val="0"/>
                <w:bCs/>
                <w:szCs w:val="24"/>
              </w:rPr>
              <w:t xml:space="preserve">  Keeps an expunged record private if the Commissioner of Human Services disqualifies an applicant based on the expunged record.</w:t>
            </w:r>
          </w:p>
        </w:tc>
        <w:tc>
          <w:tcPr>
            <w:tcW w:w="9180" w:type="dxa"/>
          </w:tcPr>
          <w:p w:rsidR="007F001A" w:rsidRDefault="002038AD" w:rsidP="002038AD">
            <w:pPr>
              <w:pStyle w:val="Sectionnumber"/>
              <w:numPr>
                <w:ilvl w:val="0"/>
                <w:numId w:val="0"/>
              </w:numPr>
              <w:ind w:right="5"/>
              <w:rPr>
                <w:b w:val="0"/>
              </w:rPr>
            </w:pPr>
            <w:r>
              <w:rPr>
                <w:b w:val="0"/>
              </w:rPr>
              <w:t>No c</w:t>
            </w:r>
            <w:r w:rsidR="00410F1F">
              <w:rPr>
                <w:b w:val="0"/>
              </w:rPr>
              <w:t xml:space="preserve">omparable </w:t>
            </w:r>
            <w:r>
              <w:rPr>
                <w:b w:val="0"/>
              </w:rPr>
              <w:t>p</w:t>
            </w:r>
            <w:r w:rsidR="00410F1F">
              <w:rPr>
                <w:b w:val="0"/>
              </w:rPr>
              <w:t>rovision</w:t>
            </w:r>
            <w:r>
              <w:rPr>
                <w:b w:val="0"/>
              </w:rPr>
              <w:t>.</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A71DF3" w:rsidRDefault="007F001A" w:rsidP="00C37C13">
            <w:pPr>
              <w:pStyle w:val="Sectionnumber"/>
              <w:numPr>
                <w:ilvl w:val="0"/>
                <w:numId w:val="0"/>
              </w:numPr>
              <w:rPr>
                <w:b w:val="0"/>
                <w:bCs/>
                <w:szCs w:val="24"/>
              </w:rPr>
            </w:pPr>
            <w:r>
              <w:rPr>
                <w:bCs/>
                <w:szCs w:val="24"/>
              </w:rPr>
              <w:t>Disqualification that is rescinded or set aside.</w:t>
            </w:r>
            <w:r>
              <w:rPr>
                <w:b w:val="0"/>
                <w:bCs/>
                <w:szCs w:val="24"/>
              </w:rPr>
              <w:t xml:space="preserve">  Prohibits the Commissioner of Human Services from notifying an employer of an expunged criminal record when the Commissioner disqualifies an applicant based on the expunged offense.</w:t>
            </w:r>
          </w:p>
        </w:tc>
        <w:tc>
          <w:tcPr>
            <w:tcW w:w="9180" w:type="dxa"/>
          </w:tcPr>
          <w:p w:rsidR="007F001A" w:rsidRDefault="00410F1F" w:rsidP="002038AD">
            <w:pPr>
              <w:pStyle w:val="Sectionnumber"/>
              <w:numPr>
                <w:ilvl w:val="0"/>
                <w:numId w:val="0"/>
              </w:numPr>
              <w:ind w:right="5"/>
              <w:rPr>
                <w:b w:val="0"/>
              </w:rPr>
            </w:pPr>
            <w:r>
              <w:rPr>
                <w:b w:val="0"/>
              </w:rPr>
              <w:t xml:space="preserve">No </w:t>
            </w:r>
            <w:r w:rsidR="002038AD">
              <w:rPr>
                <w:b w:val="0"/>
              </w:rPr>
              <w:t>c</w:t>
            </w:r>
            <w:r>
              <w:rPr>
                <w:b w:val="0"/>
              </w:rPr>
              <w:t xml:space="preserve">omparable </w:t>
            </w:r>
            <w:r w:rsidR="002038AD">
              <w:rPr>
                <w:b w:val="0"/>
              </w:rPr>
              <w:t>p</w:t>
            </w:r>
            <w:r>
              <w:rPr>
                <w:b w:val="0"/>
              </w:rPr>
              <w:t>rovision</w:t>
            </w:r>
            <w:r w:rsidR="002038AD">
              <w:rPr>
                <w:b w:val="0"/>
              </w:rPr>
              <w:t>.</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31688C" w:rsidRDefault="007F001A" w:rsidP="00C37C13">
            <w:pPr>
              <w:pStyle w:val="Sectionnumber"/>
              <w:numPr>
                <w:ilvl w:val="0"/>
                <w:numId w:val="0"/>
              </w:numPr>
              <w:rPr>
                <w:b w:val="0"/>
                <w:szCs w:val="24"/>
              </w:rPr>
            </w:pPr>
            <w:r w:rsidRPr="0031688C">
              <w:rPr>
                <w:bCs/>
                <w:szCs w:val="24"/>
              </w:rPr>
              <w:t>Expungement.</w:t>
            </w:r>
            <w:r w:rsidRPr="0031688C">
              <w:rPr>
                <w:b w:val="0"/>
                <w:bCs/>
                <w:szCs w:val="24"/>
              </w:rPr>
              <w:t xml:space="preserve">  </w:t>
            </w:r>
            <w:r w:rsidRPr="0031688C">
              <w:rPr>
                <w:b w:val="0"/>
                <w:szCs w:val="24"/>
              </w:rPr>
              <w:t xml:space="preserve">Amends the juvenile records expungement statute to give courts authority to expunge all records relating to the arrest and delinquency proceedings, rather than just the adjudication of delinquency. This is in response to the decision of the Minnesota Supreme Court in the </w:t>
            </w:r>
            <w:r w:rsidRPr="0031688C">
              <w:rPr>
                <w:b w:val="0"/>
                <w:i/>
                <w:iCs/>
                <w:szCs w:val="24"/>
              </w:rPr>
              <w:t>J.J.P.</w:t>
            </w:r>
            <w:r>
              <w:rPr>
                <w:b w:val="0"/>
                <w:i/>
                <w:iCs/>
                <w:szCs w:val="24"/>
              </w:rPr>
              <w:t xml:space="preserve"> </w:t>
            </w:r>
            <w:r w:rsidRPr="0031688C">
              <w:rPr>
                <w:b w:val="0"/>
                <w:szCs w:val="24"/>
              </w:rPr>
              <w:t>case, 831 N.W.2d 260 (Minn. 2013), in which it interpreted the statute as applicable only to the adjudication record and not additional documents, such as arrest and investigative records. The most significant effect of this amendment would be to give courts authority to expunge these delinquency records when held by executive branch entities. In addition, the standard to be applied by the court is more clearly delineated and a list of factors to be considered is included.</w:t>
            </w:r>
          </w:p>
          <w:p w:rsidR="007F001A" w:rsidRDefault="007F001A" w:rsidP="00C37C13">
            <w:pPr>
              <w:pStyle w:val="Sectionnumber"/>
              <w:numPr>
                <w:ilvl w:val="0"/>
                <w:numId w:val="0"/>
              </w:numPr>
              <w:rPr>
                <w:b w:val="0"/>
                <w:szCs w:val="24"/>
              </w:rPr>
            </w:pPr>
            <w:r>
              <w:rPr>
                <w:b w:val="0"/>
                <w:szCs w:val="24"/>
              </w:rPr>
              <w:t>Juvenile records expunged prior to the effective date of this act may not be shared or exchanged.  For juvenile records expunged after the effective date of this act, sharing of</w:t>
            </w:r>
            <w:r w:rsidRPr="0031688C">
              <w:rPr>
                <w:b w:val="0"/>
                <w:szCs w:val="24"/>
              </w:rPr>
              <w:t xml:space="preserve"> records between criminal justice agencies is authorized, consistent with the new provisions governing adult records in </w:t>
            </w:r>
            <w:r>
              <w:rPr>
                <w:b w:val="0"/>
                <w:bCs/>
                <w:szCs w:val="24"/>
              </w:rPr>
              <w:t>section 12</w:t>
            </w:r>
            <w:r w:rsidRPr="0031688C">
              <w:rPr>
                <w:b w:val="0"/>
                <w:szCs w:val="24"/>
              </w:rPr>
              <w:t xml:space="preserve">, and the statute governing appeals of adult </w:t>
            </w:r>
            <w:proofErr w:type="spellStart"/>
            <w:r w:rsidRPr="0031688C">
              <w:rPr>
                <w:b w:val="0"/>
                <w:szCs w:val="24"/>
              </w:rPr>
              <w:t>expungements</w:t>
            </w:r>
            <w:proofErr w:type="spellEnd"/>
            <w:r w:rsidRPr="0031688C">
              <w:rPr>
                <w:b w:val="0"/>
                <w:szCs w:val="24"/>
              </w:rPr>
              <w:t xml:space="preserve"> would apply.</w:t>
            </w:r>
          </w:p>
          <w:p w:rsidR="00A157D0" w:rsidRPr="0031688C" w:rsidRDefault="00A157D0" w:rsidP="00C37C13">
            <w:pPr>
              <w:pStyle w:val="Sectionnumber"/>
              <w:numPr>
                <w:ilvl w:val="0"/>
                <w:numId w:val="0"/>
              </w:numPr>
              <w:rPr>
                <w:b w:val="0"/>
                <w:szCs w:val="24"/>
              </w:rPr>
            </w:pPr>
            <w:r>
              <w:rPr>
                <w:b w:val="0"/>
                <w:szCs w:val="24"/>
              </w:rPr>
              <w:t>Includes January 1, 2015 effective date.</w:t>
            </w:r>
          </w:p>
        </w:tc>
        <w:tc>
          <w:tcPr>
            <w:tcW w:w="9180" w:type="dxa"/>
          </w:tcPr>
          <w:p w:rsidR="00FB487E" w:rsidRDefault="00FB487E" w:rsidP="00410F1F">
            <w:pPr>
              <w:pStyle w:val="Sectionnumber"/>
              <w:numPr>
                <w:ilvl w:val="0"/>
                <w:numId w:val="0"/>
              </w:numPr>
              <w:rPr>
                <w:b w:val="0"/>
                <w:bCs/>
                <w:szCs w:val="24"/>
              </w:rPr>
            </w:pPr>
            <w:r w:rsidRPr="000362FA">
              <w:rPr>
                <w:bCs/>
                <w:szCs w:val="24"/>
              </w:rPr>
              <w:t>Section 1</w:t>
            </w:r>
            <w:r>
              <w:rPr>
                <w:b w:val="0"/>
                <w:bCs/>
                <w:szCs w:val="24"/>
              </w:rPr>
              <w:t xml:space="preserve"> is </w:t>
            </w:r>
            <w:r w:rsidR="00A157D0">
              <w:rPr>
                <w:b w:val="0"/>
                <w:bCs/>
                <w:szCs w:val="24"/>
              </w:rPr>
              <w:t>nearly identical</w:t>
            </w:r>
            <w:r>
              <w:rPr>
                <w:b w:val="0"/>
                <w:bCs/>
                <w:szCs w:val="24"/>
              </w:rPr>
              <w:t>.</w:t>
            </w:r>
            <w:r w:rsidR="00A157D0">
              <w:rPr>
                <w:b w:val="0"/>
                <w:bCs/>
                <w:szCs w:val="24"/>
              </w:rPr>
              <w:t xml:space="preserve"> House refers to expungement of all records relating to “delinquency” versus Senate “the arrest and delinquency proceedings.”</w:t>
            </w:r>
          </w:p>
          <w:p w:rsidR="000362FA" w:rsidRDefault="000362FA" w:rsidP="00410F1F">
            <w:pPr>
              <w:pStyle w:val="Sectionnumber"/>
              <w:numPr>
                <w:ilvl w:val="0"/>
                <w:numId w:val="0"/>
              </w:numPr>
              <w:rPr>
                <w:b w:val="0"/>
                <w:bCs/>
                <w:szCs w:val="24"/>
              </w:rPr>
            </w:pPr>
          </w:p>
          <w:p w:rsidR="000362FA" w:rsidRDefault="000362FA" w:rsidP="00410F1F">
            <w:pPr>
              <w:pStyle w:val="Sectionnumber"/>
              <w:numPr>
                <w:ilvl w:val="0"/>
                <w:numId w:val="0"/>
              </w:numPr>
              <w:rPr>
                <w:b w:val="0"/>
                <w:bCs/>
                <w:szCs w:val="24"/>
              </w:rPr>
            </w:pPr>
          </w:p>
          <w:p w:rsidR="000362FA" w:rsidRDefault="000362FA" w:rsidP="00410F1F">
            <w:pPr>
              <w:pStyle w:val="Sectionnumber"/>
              <w:numPr>
                <w:ilvl w:val="0"/>
                <w:numId w:val="0"/>
              </w:numPr>
              <w:rPr>
                <w:b w:val="0"/>
                <w:bCs/>
                <w:szCs w:val="24"/>
              </w:rPr>
            </w:pPr>
          </w:p>
          <w:p w:rsidR="000362FA" w:rsidRDefault="000362FA" w:rsidP="00410F1F">
            <w:pPr>
              <w:pStyle w:val="Sectionnumber"/>
              <w:numPr>
                <w:ilvl w:val="0"/>
                <w:numId w:val="0"/>
              </w:numPr>
              <w:rPr>
                <w:b w:val="0"/>
                <w:bCs/>
                <w:szCs w:val="24"/>
              </w:rPr>
            </w:pPr>
          </w:p>
          <w:p w:rsidR="007F001A" w:rsidRDefault="00031B00" w:rsidP="00A157D0">
            <w:pPr>
              <w:pStyle w:val="Sectionnumber"/>
              <w:numPr>
                <w:ilvl w:val="0"/>
                <w:numId w:val="0"/>
              </w:numPr>
              <w:rPr>
                <w:b w:val="0"/>
                <w:bCs/>
                <w:szCs w:val="24"/>
              </w:rPr>
            </w:pPr>
            <w:r>
              <w:rPr>
                <w:b w:val="0"/>
                <w:bCs/>
                <w:szCs w:val="24"/>
              </w:rPr>
              <w:t>Doesn’t include restriction on opening or sharing records expunged before effective date.</w:t>
            </w:r>
          </w:p>
          <w:p w:rsidR="00031B00" w:rsidRDefault="00031B00" w:rsidP="00A157D0">
            <w:pPr>
              <w:pStyle w:val="Sectionnumber"/>
              <w:numPr>
                <w:ilvl w:val="0"/>
                <w:numId w:val="0"/>
              </w:numPr>
              <w:rPr>
                <w:b w:val="0"/>
                <w:bCs/>
                <w:szCs w:val="24"/>
              </w:rPr>
            </w:pPr>
            <w:r>
              <w:rPr>
                <w:b w:val="0"/>
                <w:bCs/>
                <w:szCs w:val="24"/>
              </w:rPr>
              <w:br/>
            </w:r>
            <w:r>
              <w:rPr>
                <w:b w:val="0"/>
                <w:bCs/>
                <w:szCs w:val="24"/>
              </w:rPr>
              <w:br/>
            </w:r>
          </w:p>
          <w:p w:rsidR="00A157D0" w:rsidRDefault="00A157D0" w:rsidP="00A157D0">
            <w:pPr>
              <w:pStyle w:val="Sectionnumber"/>
              <w:numPr>
                <w:ilvl w:val="0"/>
                <w:numId w:val="0"/>
              </w:numPr>
              <w:rPr>
                <w:b w:val="0"/>
              </w:rPr>
            </w:pPr>
            <w:r>
              <w:rPr>
                <w:b w:val="0"/>
                <w:bCs/>
                <w:szCs w:val="24"/>
              </w:rPr>
              <w:t>No special effective date.</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Default="007F001A" w:rsidP="00C37C13">
            <w:pPr>
              <w:pStyle w:val="Sectionnumber"/>
              <w:numPr>
                <w:ilvl w:val="0"/>
                <w:numId w:val="0"/>
              </w:numPr>
              <w:rPr>
                <w:b w:val="0"/>
                <w:szCs w:val="24"/>
              </w:rPr>
            </w:pPr>
            <w:r w:rsidRPr="0031688C">
              <w:rPr>
                <w:bCs/>
                <w:szCs w:val="24"/>
              </w:rPr>
              <w:t>Deletion of expunged records.</w:t>
            </w:r>
            <w:r w:rsidRPr="0031688C">
              <w:rPr>
                <w:b w:val="0"/>
                <w:bCs/>
                <w:szCs w:val="24"/>
              </w:rPr>
              <w:t xml:space="preserve">  A</w:t>
            </w:r>
            <w:r w:rsidRPr="0031688C">
              <w:rPr>
                <w:b w:val="0"/>
                <w:szCs w:val="24"/>
              </w:rPr>
              <w:t>mends the law governing business screening services to require a business screening service that knows a criminal record has been sealed, expunged, or is the subject of a pardon to promptly delete the record. While this may be implied under current law, it is not explicitly stated (in contrast, there is specific language in Minnesota Statutes, section 504B.241,</w:t>
            </w:r>
            <w:r>
              <w:rPr>
                <w:b w:val="0"/>
                <w:szCs w:val="24"/>
              </w:rPr>
              <w:t xml:space="preserve"> </w:t>
            </w:r>
            <w:r w:rsidRPr="0031688C">
              <w:rPr>
                <w:b w:val="0"/>
                <w:szCs w:val="24"/>
              </w:rPr>
              <w:t>subdivision 4, governing residential tenant screening services).</w:t>
            </w:r>
          </w:p>
          <w:p w:rsidR="00A157D0" w:rsidRPr="0031688C" w:rsidRDefault="00A157D0" w:rsidP="00C37C13">
            <w:pPr>
              <w:pStyle w:val="Sectionnumber"/>
              <w:numPr>
                <w:ilvl w:val="0"/>
                <w:numId w:val="0"/>
              </w:numPr>
              <w:rPr>
                <w:b w:val="0"/>
                <w:bCs/>
                <w:szCs w:val="24"/>
              </w:rPr>
            </w:pPr>
            <w:r>
              <w:rPr>
                <w:b w:val="0"/>
                <w:szCs w:val="24"/>
              </w:rPr>
              <w:t>Includes January 1, 2015 effective date.</w:t>
            </w:r>
          </w:p>
        </w:tc>
        <w:tc>
          <w:tcPr>
            <w:tcW w:w="9180" w:type="dxa"/>
          </w:tcPr>
          <w:p w:rsidR="007F001A" w:rsidRDefault="000362FA" w:rsidP="00C37C13">
            <w:pPr>
              <w:pStyle w:val="Sectionnumber"/>
              <w:numPr>
                <w:ilvl w:val="0"/>
                <w:numId w:val="0"/>
              </w:numPr>
              <w:ind w:right="5"/>
              <w:rPr>
                <w:b w:val="0"/>
              </w:rPr>
            </w:pPr>
            <w:r w:rsidRPr="000362FA">
              <w:t>S</w:t>
            </w:r>
            <w:r w:rsidR="002038AD" w:rsidRPr="000362FA">
              <w:t>ection 2</w:t>
            </w:r>
            <w:r w:rsidR="002038AD">
              <w:rPr>
                <w:b w:val="0"/>
              </w:rPr>
              <w:t xml:space="preserve"> is identical.</w:t>
            </w:r>
          </w:p>
          <w:p w:rsidR="00A157D0" w:rsidRDefault="00A157D0" w:rsidP="00C37C13">
            <w:pPr>
              <w:pStyle w:val="Sectionnumber"/>
              <w:numPr>
                <w:ilvl w:val="0"/>
                <w:numId w:val="0"/>
              </w:numPr>
              <w:ind w:right="5"/>
              <w:rPr>
                <w:b w:val="0"/>
              </w:rPr>
            </w:pPr>
          </w:p>
          <w:p w:rsidR="00A157D0" w:rsidRDefault="00A157D0" w:rsidP="00C37C13">
            <w:pPr>
              <w:pStyle w:val="Sectionnumber"/>
              <w:numPr>
                <w:ilvl w:val="0"/>
                <w:numId w:val="0"/>
              </w:numPr>
              <w:ind w:right="5"/>
              <w:rPr>
                <w:b w:val="0"/>
              </w:rPr>
            </w:pPr>
          </w:p>
          <w:p w:rsidR="00A157D0" w:rsidRDefault="00A157D0" w:rsidP="00C37C13">
            <w:pPr>
              <w:pStyle w:val="Sectionnumber"/>
              <w:numPr>
                <w:ilvl w:val="0"/>
                <w:numId w:val="0"/>
              </w:numPr>
              <w:ind w:right="5"/>
              <w:rPr>
                <w:b w:val="0"/>
              </w:rPr>
            </w:pPr>
          </w:p>
          <w:p w:rsidR="00A157D0" w:rsidRDefault="00A157D0" w:rsidP="00C37C13">
            <w:pPr>
              <w:pStyle w:val="Sectionnumber"/>
              <w:numPr>
                <w:ilvl w:val="0"/>
                <w:numId w:val="0"/>
              </w:numPr>
              <w:ind w:right="5"/>
              <w:rPr>
                <w:b w:val="0"/>
              </w:rPr>
            </w:pPr>
            <w:r>
              <w:rPr>
                <w:b w:val="0"/>
                <w:bCs/>
                <w:szCs w:val="24"/>
              </w:rPr>
              <w:t>No special effective date.</w:t>
            </w:r>
          </w:p>
        </w:tc>
      </w:tr>
      <w:tr w:rsidR="007F001A" w:rsidTr="001125CF">
        <w:trPr>
          <w:cantSplit/>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Default="007F001A" w:rsidP="00C37C13">
            <w:pPr>
              <w:autoSpaceDE w:val="0"/>
              <w:autoSpaceDN w:val="0"/>
              <w:adjustRightInd w:val="0"/>
              <w:rPr>
                <w:szCs w:val="24"/>
              </w:rPr>
            </w:pPr>
            <w:r w:rsidRPr="0031688C">
              <w:rPr>
                <w:b/>
                <w:bCs/>
                <w:szCs w:val="24"/>
              </w:rPr>
              <w:t xml:space="preserve">Evictions.  </w:t>
            </w:r>
            <w:r w:rsidRPr="0031688C">
              <w:rPr>
                <w:szCs w:val="24"/>
              </w:rPr>
              <w:t xml:space="preserve">Amends the eviction law to explicitly give the court authority to expunge records relating to the action at the time judgment is entered or after that time in cases where the defendant prevailed. The effect of this amendment is to allow the defendant to move for an expungement as part of the eviction proceeding, rather than bringing a separate petition or motion under </w:t>
            </w:r>
            <w:r>
              <w:rPr>
                <w:szCs w:val="24"/>
              </w:rPr>
              <w:t xml:space="preserve">Minnesota Statutes, </w:t>
            </w:r>
            <w:r w:rsidRPr="0031688C">
              <w:rPr>
                <w:szCs w:val="24"/>
              </w:rPr>
              <w:t>section 484.014, which is the general law governing expung</w:t>
            </w:r>
            <w:r>
              <w:rPr>
                <w:szCs w:val="24"/>
              </w:rPr>
              <w:t>e</w:t>
            </w:r>
            <w:r w:rsidRPr="0031688C">
              <w:rPr>
                <w:szCs w:val="24"/>
              </w:rPr>
              <w:t>ment of eviction records.</w:t>
            </w:r>
          </w:p>
          <w:p w:rsidR="00A157D0" w:rsidRPr="00A157D0" w:rsidRDefault="00A157D0" w:rsidP="00C37C13">
            <w:pPr>
              <w:autoSpaceDE w:val="0"/>
              <w:autoSpaceDN w:val="0"/>
              <w:adjustRightInd w:val="0"/>
              <w:rPr>
                <w:bCs/>
                <w:szCs w:val="24"/>
              </w:rPr>
            </w:pPr>
            <w:r w:rsidRPr="00A157D0">
              <w:rPr>
                <w:szCs w:val="24"/>
              </w:rPr>
              <w:t>Includes January 1, 2015 effective date.</w:t>
            </w:r>
          </w:p>
        </w:tc>
        <w:tc>
          <w:tcPr>
            <w:tcW w:w="9180" w:type="dxa"/>
          </w:tcPr>
          <w:p w:rsidR="00A157D0" w:rsidRDefault="002038AD" w:rsidP="00A157D0">
            <w:pPr>
              <w:pStyle w:val="Sectionnumber"/>
              <w:numPr>
                <w:ilvl w:val="0"/>
                <w:numId w:val="0"/>
              </w:numPr>
              <w:ind w:right="5"/>
              <w:rPr>
                <w:b w:val="0"/>
              </w:rPr>
            </w:pPr>
            <w:r w:rsidRPr="002038AD">
              <w:t>Section 3</w:t>
            </w:r>
            <w:r w:rsidRPr="002038AD">
              <w:rPr>
                <w:b w:val="0"/>
              </w:rPr>
              <w:t xml:space="preserve"> </w:t>
            </w:r>
            <w:r w:rsidR="00441E39">
              <w:rPr>
                <w:b w:val="0"/>
              </w:rPr>
              <w:t xml:space="preserve">is </w:t>
            </w:r>
            <w:r w:rsidR="00A157D0">
              <w:rPr>
                <w:b w:val="0"/>
              </w:rPr>
              <w:t xml:space="preserve">nearly </w:t>
            </w:r>
            <w:r w:rsidR="00441E39">
              <w:rPr>
                <w:b w:val="0"/>
              </w:rPr>
              <w:t>identical.</w:t>
            </w:r>
            <w:r w:rsidR="00A157D0">
              <w:rPr>
                <w:b w:val="0"/>
              </w:rPr>
              <w:t xml:space="preserve"> Specifically refers to substantive law governing expungement of eviction records and </w:t>
            </w:r>
            <w:proofErr w:type="spellStart"/>
            <w:r w:rsidR="00A157D0">
              <w:rPr>
                <w:b w:val="0"/>
              </w:rPr>
              <w:t>expungements</w:t>
            </w:r>
            <w:proofErr w:type="spellEnd"/>
            <w:r w:rsidR="00A157D0">
              <w:rPr>
                <w:b w:val="0"/>
              </w:rPr>
              <w:t xml:space="preserve"> after judgment is entered </w:t>
            </w:r>
            <w:r w:rsidR="00031B00">
              <w:rPr>
                <w:b w:val="0"/>
              </w:rPr>
              <w:t>could occur upon motion of the defendant</w:t>
            </w:r>
            <w:r w:rsidR="00A157D0">
              <w:rPr>
                <w:b w:val="0"/>
              </w:rPr>
              <w:t>.</w:t>
            </w:r>
            <w:r w:rsidR="00A157D0">
              <w:rPr>
                <w:b w:val="0"/>
              </w:rPr>
              <w:br/>
            </w:r>
            <w:r w:rsidR="00A157D0">
              <w:rPr>
                <w:b w:val="0"/>
              </w:rPr>
              <w:br/>
            </w:r>
            <w:r w:rsidR="00A157D0">
              <w:rPr>
                <w:b w:val="0"/>
              </w:rPr>
              <w:br/>
            </w:r>
          </w:p>
          <w:p w:rsidR="007F001A" w:rsidRDefault="00A157D0" w:rsidP="00A157D0">
            <w:pPr>
              <w:pStyle w:val="Sectionnumber"/>
              <w:numPr>
                <w:ilvl w:val="0"/>
                <w:numId w:val="0"/>
              </w:numPr>
              <w:ind w:right="5"/>
              <w:rPr>
                <w:b w:val="0"/>
              </w:rPr>
            </w:pPr>
            <w:r>
              <w:rPr>
                <w:b w:val="0"/>
                <w:bCs/>
                <w:szCs w:val="24"/>
              </w:rPr>
              <w:t>No special effective date.</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31688C" w:rsidRDefault="007F001A" w:rsidP="00C37C13">
            <w:pPr>
              <w:autoSpaceDE w:val="0"/>
              <w:autoSpaceDN w:val="0"/>
              <w:adjustRightInd w:val="0"/>
              <w:rPr>
                <w:szCs w:val="24"/>
              </w:rPr>
            </w:pPr>
            <w:r w:rsidRPr="0031688C">
              <w:rPr>
                <w:b/>
                <w:bCs/>
                <w:szCs w:val="24"/>
              </w:rPr>
              <w:t>Statutory expungement.</w:t>
            </w:r>
            <w:r w:rsidRPr="0031688C">
              <w:rPr>
                <w:bCs/>
                <w:szCs w:val="24"/>
              </w:rPr>
              <w:t xml:space="preserve">  </w:t>
            </w:r>
            <w:r w:rsidRPr="0031688C">
              <w:rPr>
                <w:szCs w:val="24"/>
              </w:rPr>
              <w:t>Amends the general law governing the circumstances under which criminal records may be expunged. Under current law, an expungement petition may be brought only when authorized under law. The grounds for an order under Minnesota Statutes, section 609A.02, include certain controlled substance offenses, juveniles prosecuted as adults, and criminal proceedings resolved in favor of the petitioner. Under paragraph (a), three new categories of criminal proceedings or convictions are added:</w:t>
            </w:r>
          </w:p>
          <w:p w:rsidR="007F001A" w:rsidRPr="0031688C" w:rsidRDefault="007F001A" w:rsidP="00C37C13">
            <w:pPr>
              <w:autoSpaceDE w:val="0"/>
              <w:autoSpaceDN w:val="0"/>
              <w:adjustRightInd w:val="0"/>
              <w:spacing w:after="0"/>
              <w:rPr>
                <w:szCs w:val="24"/>
              </w:rPr>
            </w:pPr>
          </w:p>
          <w:p w:rsidR="007F001A" w:rsidRPr="0031688C" w:rsidRDefault="007F001A" w:rsidP="007F001A">
            <w:pPr>
              <w:pStyle w:val="ListParagraph"/>
              <w:numPr>
                <w:ilvl w:val="0"/>
                <w:numId w:val="16"/>
              </w:numPr>
              <w:autoSpaceDE w:val="0"/>
              <w:autoSpaceDN w:val="0"/>
              <w:adjustRightInd w:val="0"/>
              <w:spacing w:after="0"/>
              <w:contextualSpacing w:val="0"/>
              <w:rPr>
                <w:szCs w:val="24"/>
              </w:rPr>
            </w:pPr>
            <w:r w:rsidRPr="0031688C">
              <w:rPr>
                <w:szCs w:val="24"/>
              </w:rPr>
              <w:t xml:space="preserve">petitioner has successfully completed the terms of a diversion program or stay of adjudication and has not been charged with a new crime for at least </w:t>
            </w:r>
            <w:r>
              <w:rPr>
                <w:i/>
                <w:iCs/>
                <w:szCs w:val="24"/>
              </w:rPr>
              <w:t>two</w:t>
            </w:r>
            <w:r w:rsidRPr="0031688C">
              <w:rPr>
                <w:i/>
                <w:iCs/>
                <w:szCs w:val="24"/>
              </w:rPr>
              <w:t xml:space="preserve"> </w:t>
            </w:r>
            <w:r w:rsidRPr="0031688C">
              <w:rPr>
                <w:szCs w:val="24"/>
              </w:rPr>
              <w:t>year</w:t>
            </w:r>
            <w:r>
              <w:rPr>
                <w:szCs w:val="24"/>
              </w:rPr>
              <w:t>s</w:t>
            </w:r>
            <w:r w:rsidRPr="0031688C">
              <w:rPr>
                <w:szCs w:val="24"/>
              </w:rPr>
              <w:t xml:space="preserve"> since completion of the program or stay of adjudication;</w:t>
            </w:r>
          </w:p>
          <w:p w:rsidR="007F001A" w:rsidRPr="0031688C" w:rsidRDefault="007F001A" w:rsidP="00C37C13">
            <w:pPr>
              <w:autoSpaceDE w:val="0"/>
              <w:autoSpaceDN w:val="0"/>
              <w:adjustRightInd w:val="0"/>
              <w:spacing w:after="0"/>
              <w:rPr>
                <w:szCs w:val="24"/>
              </w:rPr>
            </w:pPr>
          </w:p>
          <w:p w:rsidR="007F001A" w:rsidRPr="0031688C" w:rsidRDefault="007F001A" w:rsidP="007F001A">
            <w:pPr>
              <w:pStyle w:val="ListParagraph"/>
              <w:numPr>
                <w:ilvl w:val="0"/>
                <w:numId w:val="16"/>
              </w:numPr>
              <w:autoSpaceDE w:val="0"/>
              <w:autoSpaceDN w:val="0"/>
              <w:adjustRightInd w:val="0"/>
              <w:spacing w:after="0"/>
              <w:contextualSpacing w:val="0"/>
              <w:rPr>
                <w:szCs w:val="24"/>
              </w:rPr>
            </w:pPr>
            <w:r w:rsidRPr="0031688C">
              <w:rPr>
                <w:szCs w:val="24"/>
              </w:rPr>
              <w:t xml:space="preserve">petitioner was convicted of or received a stayed sentence for a petty misdemeanor, misdemeanor, or gross misdemeanor and has not been convicted of a new crime for at least </w:t>
            </w:r>
            <w:r>
              <w:rPr>
                <w:i/>
                <w:iCs/>
                <w:szCs w:val="24"/>
              </w:rPr>
              <w:t xml:space="preserve">five </w:t>
            </w:r>
            <w:r w:rsidRPr="0031688C">
              <w:rPr>
                <w:szCs w:val="24"/>
              </w:rPr>
              <w:t>years since discharge of the sentence; or</w:t>
            </w:r>
          </w:p>
          <w:p w:rsidR="007F001A" w:rsidRPr="0031688C" w:rsidRDefault="007F001A" w:rsidP="00C37C13">
            <w:pPr>
              <w:autoSpaceDE w:val="0"/>
              <w:autoSpaceDN w:val="0"/>
              <w:adjustRightInd w:val="0"/>
              <w:spacing w:after="0"/>
              <w:rPr>
                <w:szCs w:val="24"/>
              </w:rPr>
            </w:pPr>
          </w:p>
          <w:p w:rsidR="007F001A" w:rsidRPr="0031688C" w:rsidRDefault="007F001A" w:rsidP="007F001A">
            <w:pPr>
              <w:pStyle w:val="ListParagraph"/>
              <w:numPr>
                <w:ilvl w:val="0"/>
                <w:numId w:val="16"/>
              </w:numPr>
              <w:autoSpaceDE w:val="0"/>
              <w:autoSpaceDN w:val="0"/>
              <w:adjustRightInd w:val="0"/>
              <w:spacing w:after="0"/>
              <w:contextualSpacing w:val="0"/>
              <w:rPr>
                <w:szCs w:val="24"/>
              </w:rPr>
            </w:pPr>
            <w:proofErr w:type="gramStart"/>
            <w:r w:rsidRPr="0031688C">
              <w:rPr>
                <w:szCs w:val="24"/>
              </w:rPr>
              <w:t>petitioner</w:t>
            </w:r>
            <w:proofErr w:type="gramEnd"/>
            <w:r w:rsidRPr="0031688C">
              <w:rPr>
                <w:szCs w:val="24"/>
              </w:rPr>
              <w:t xml:space="preserve"> was convicted of or received a stayed sentence for a felony violation of an offense listed in paragraph (b) and has not been convicted of a new crime for at least </w:t>
            </w:r>
            <w:r>
              <w:rPr>
                <w:i/>
                <w:iCs/>
                <w:szCs w:val="24"/>
              </w:rPr>
              <w:t xml:space="preserve">eight </w:t>
            </w:r>
            <w:r w:rsidRPr="0031688C">
              <w:rPr>
                <w:szCs w:val="24"/>
              </w:rPr>
              <w:t>years since discharge of the sentence.</w:t>
            </w:r>
          </w:p>
          <w:p w:rsidR="007F001A" w:rsidRPr="0031688C" w:rsidRDefault="007F001A" w:rsidP="00C37C13">
            <w:pPr>
              <w:autoSpaceDE w:val="0"/>
              <w:autoSpaceDN w:val="0"/>
              <w:adjustRightInd w:val="0"/>
              <w:spacing w:after="0"/>
              <w:rPr>
                <w:szCs w:val="24"/>
              </w:rPr>
            </w:pPr>
          </w:p>
          <w:p w:rsidR="007F001A" w:rsidRDefault="007F001A" w:rsidP="00C37C13">
            <w:pPr>
              <w:autoSpaceDE w:val="0"/>
              <w:autoSpaceDN w:val="0"/>
              <w:adjustRightInd w:val="0"/>
              <w:rPr>
                <w:szCs w:val="24"/>
              </w:rPr>
            </w:pPr>
            <w:r w:rsidRPr="0031688C">
              <w:rPr>
                <w:szCs w:val="24"/>
              </w:rPr>
              <w:t xml:space="preserve">Paragraph (b) lists the felonies that would be eligible for expungement. It includes </w:t>
            </w:r>
            <w:r>
              <w:rPr>
                <w:szCs w:val="24"/>
              </w:rPr>
              <w:t xml:space="preserve">most </w:t>
            </w:r>
            <w:r>
              <w:rPr>
                <w:szCs w:val="24"/>
              </w:rPr>
              <w:lastRenderedPageBreak/>
              <w:t xml:space="preserve">offenses </w:t>
            </w:r>
            <w:r w:rsidRPr="0031688C">
              <w:rPr>
                <w:szCs w:val="24"/>
              </w:rPr>
              <w:t xml:space="preserve">that are a severity level 1 or 2 under the Sentencing Guidelines, other than </w:t>
            </w:r>
            <w:r>
              <w:rPr>
                <w:szCs w:val="24"/>
              </w:rPr>
              <w:t xml:space="preserve">(1) certain person offenses and (2) </w:t>
            </w:r>
            <w:r w:rsidRPr="0031688C">
              <w:rPr>
                <w:szCs w:val="24"/>
              </w:rPr>
              <w:t>those that are crimes of violence for purposes of permit to carry disqualifications and codified in chapter 609.</w:t>
            </w:r>
          </w:p>
          <w:p w:rsidR="00031B00" w:rsidRDefault="00031B00" w:rsidP="00C37C13">
            <w:pPr>
              <w:autoSpaceDE w:val="0"/>
              <w:autoSpaceDN w:val="0"/>
              <w:adjustRightInd w:val="0"/>
              <w:rPr>
                <w:szCs w:val="24"/>
              </w:rPr>
            </w:pPr>
            <w:r>
              <w:rPr>
                <w:szCs w:val="24"/>
              </w:rPr>
              <w:br/>
            </w:r>
            <w:r>
              <w:rPr>
                <w:szCs w:val="24"/>
              </w:rPr>
              <w:br/>
            </w:r>
            <w:r>
              <w:rPr>
                <w:szCs w:val="24"/>
              </w:rPr>
              <w:br/>
            </w:r>
            <w:r>
              <w:rPr>
                <w:szCs w:val="24"/>
              </w:rPr>
              <w:br/>
            </w:r>
            <w:r>
              <w:rPr>
                <w:szCs w:val="24"/>
              </w:rPr>
              <w:br/>
            </w:r>
            <w:r>
              <w:rPr>
                <w:szCs w:val="24"/>
              </w:rPr>
              <w:br/>
            </w:r>
            <w:r>
              <w:rPr>
                <w:szCs w:val="24"/>
              </w:rPr>
              <w:br/>
            </w:r>
            <w:r>
              <w:rPr>
                <w:szCs w:val="24"/>
              </w:rPr>
              <w:br/>
            </w:r>
            <w:r>
              <w:rPr>
                <w:szCs w:val="24"/>
              </w:rPr>
              <w:br/>
            </w:r>
            <w:r>
              <w:rPr>
                <w:szCs w:val="24"/>
              </w:rPr>
              <w:br/>
            </w:r>
          </w:p>
          <w:p w:rsidR="00972409" w:rsidRPr="0031688C" w:rsidRDefault="00C00E74" w:rsidP="00C00E74">
            <w:pPr>
              <w:autoSpaceDE w:val="0"/>
              <w:autoSpaceDN w:val="0"/>
              <w:adjustRightInd w:val="0"/>
              <w:rPr>
                <w:bCs/>
                <w:szCs w:val="24"/>
              </w:rPr>
            </w:pPr>
            <w:r>
              <w:rPr>
                <w:szCs w:val="24"/>
              </w:rPr>
              <w:br/>
            </w:r>
            <w:r w:rsidR="007F001A">
              <w:rPr>
                <w:szCs w:val="24"/>
              </w:rPr>
              <w:t>Until July 15, 2015, paragraph (c) prohibits the expungement of stayed sentences in cases of sexual or domestic abuse, stalking, and harassment.</w:t>
            </w:r>
            <w:r>
              <w:rPr>
                <w:szCs w:val="24"/>
              </w:rPr>
              <w:br/>
            </w:r>
            <w:r>
              <w:rPr>
                <w:szCs w:val="24"/>
              </w:rPr>
              <w:br/>
            </w:r>
            <w:r w:rsidR="00972409" w:rsidRPr="00A157D0">
              <w:rPr>
                <w:szCs w:val="24"/>
              </w:rPr>
              <w:t>Includes January 1, 2015 effective date.</w:t>
            </w:r>
          </w:p>
        </w:tc>
        <w:tc>
          <w:tcPr>
            <w:tcW w:w="9180" w:type="dxa"/>
          </w:tcPr>
          <w:p w:rsidR="000362FA" w:rsidRDefault="00CF673F" w:rsidP="00CF673F">
            <w:pPr>
              <w:pStyle w:val="Sectionnumber"/>
              <w:numPr>
                <w:ilvl w:val="0"/>
                <w:numId w:val="0"/>
              </w:numPr>
              <w:ind w:right="5"/>
              <w:rPr>
                <w:b w:val="0"/>
              </w:rPr>
            </w:pPr>
            <w:r w:rsidRPr="00CF673F">
              <w:lastRenderedPageBreak/>
              <w:t>Section 4</w:t>
            </w:r>
            <w:r w:rsidRPr="00CF673F">
              <w:rPr>
                <w:b w:val="0"/>
              </w:rPr>
              <w:t xml:space="preserve"> </w:t>
            </w:r>
            <w:r w:rsidR="000362FA">
              <w:rPr>
                <w:b w:val="0"/>
              </w:rPr>
              <w:t xml:space="preserve">is </w:t>
            </w:r>
            <w:r w:rsidR="00A157D0">
              <w:rPr>
                <w:b w:val="0"/>
              </w:rPr>
              <w:t>similar</w:t>
            </w:r>
            <w:r w:rsidR="000362FA">
              <w:rPr>
                <w:b w:val="0"/>
              </w:rPr>
              <w:t>:</w:t>
            </w:r>
          </w:p>
          <w:p w:rsidR="000362FA" w:rsidRDefault="00031B00" w:rsidP="00CF673F">
            <w:pPr>
              <w:pStyle w:val="Sectionnumber"/>
              <w:numPr>
                <w:ilvl w:val="0"/>
                <w:numId w:val="0"/>
              </w:numPr>
              <w:ind w:right="5"/>
              <w:rPr>
                <w:b w:val="0"/>
              </w:rPr>
            </w:pPr>
            <w:r>
              <w:rPr>
                <w:b w:val="0"/>
              </w:rPr>
              <w:t xml:space="preserve">Senate </w:t>
            </w:r>
            <w:r w:rsidR="000362FA">
              <w:rPr>
                <w:b w:val="0"/>
              </w:rPr>
              <w:t xml:space="preserve">requires </w:t>
            </w:r>
            <w:proofErr w:type="gramStart"/>
            <w:r>
              <w:rPr>
                <w:b w:val="0"/>
              </w:rPr>
              <w:t xml:space="preserve">shorter </w:t>
            </w:r>
            <w:r w:rsidR="000362FA">
              <w:rPr>
                <w:b w:val="0"/>
              </w:rPr>
              <w:t>periods of crime-free behavior before a person is</w:t>
            </w:r>
            <w:proofErr w:type="gramEnd"/>
            <w:r w:rsidR="000362FA">
              <w:rPr>
                <w:b w:val="0"/>
              </w:rPr>
              <w:t xml:space="preserve"> eligible to seek an expungement</w:t>
            </w:r>
            <w:r>
              <w:rPr>
                <w:b w:val="0"/>
              </w:rPr>
              <w:t>.</w:t>
            </w:r>
            <w:r w:rsidR="0072497C">
              <w:rPr>
                <w:b w:val="0"/>
              </w:rPr>
              <w:br/>
            </w:r>
            <w:r w:rsidR="0072497C">
              <w:rPr>
                <w:b w:val="0"/>
              </w:rPr>
              <w:br/>
            </w:r>
            <w:r w:rsidR="0072497C">
              <w:rPr>
                <w:b w:val="0"/>
              </w:rPr>
              <w:br/>
            </w:r>
            <w:r w:rsidR="0072497C">
              <w:rPr>
                <w:b w:val="0"/>
              </w:rPr>
              <w:br/>
            </w:r>
          </w:p>
          <w:p w:rsidR="00972409" w:rsidRDefault="00972409" w:rsidP="00972409">
            <w:pPr>
              <w:pStyle w:val="Sectionnumber"/>
              <w:numPr>
                <w:ilvl w:val="0"/>
                <w:numId w:val="19"/>
              </w:numPr>
              <w:ind w:right="5"/>
              <w:rPr>
                <w:b w:val="0"/>
              </w:rPr>
            </w:pPr>
            <w:r>
              <w:rPr>
                <w:b w:val="0"/>
              </w:rPr>
              <w:t>one year since completion of program or stay of adjudication</w:t>
            </w:r>
            <w:r w:rsidR="0072497C">
              <w:rPr>
                <w:b w:val="0"/>
              </w:rPr>
              <w:br/>
            </w:r>
            <w:r w:rsidR="0072497C">
              <w:rPr>
                <w:b w:val="0"/>
              </w:rPr>
              <w:br/>
            </w:r>
            <w:r w:rsidR="0072497C">
              <w:rPr>
                <w:b w:val="0"/>
              </w:rPr>
              <w:br/>
            </w:r>
          </w:p>
          <w:p w:rsidR="00972409" w:rsidRDefault="00972409" w:rsidP="00972409">
            <w:pPr>
              <w:pStyle w:val="Sectionnumber"/>
              <w:numPr>
                <w:ilvl w:val="0"/>
                <w:numId w:val="19"/>
              </w:numPr>
              <w:ind w:right="5"/>
              <w:rPr>
                <w:b w:val="0"/>
              </w:rPr>
            </w:pPr>
            <w:r>
              <w:rPr>
                <w:b w:val="0"/>
              </w:rPr>
              <w:t>three years since discharge of sentence</w:t>
            </w:r>
            <w:r w:rsidR="0072497C">
              <w:rPr>
                <w:b w:val="0"/>
              </w:rPr>
              <w:br/>
            </w:r>
          </w:p>
          <w:p w:rsidR="0072497C" w:rsidRDefault="0072497C" w:rsidP="0072497C">
            <w:pPr>
              <w:pStyle w:val="Sectionnumber"/>
              <w:numPr>
                <w:ilvl w:val="0"/>
                <w:numId w:val="0"/>
              </w:numPr>
              <w:ind w:left="720" w:right="5"/>
              <w:rPr>
                <w:b w:val="0"/>
              </w:rPr>
            </w:pPr>
          </w:p>
          <w:p w:rsidR="00972409" w:rsidRPr="00972409" w:rsidRDefault="00972409" w:rsidP="00972409">
            <w:pPr>
              <w:pStyle w:val="Sectionnumber"/>
              <w:numPr>
                <w:ilvl w:val="0"/>
                <w:numId w:val="19"/>
              </w:numPr>
              <w:ind w:right="5"/>
              <w:rPr>
                <w:b w:val="0"/>
              </w:rPr>
            </w:pPr>
            <w:r>
              <w:rPr>
                <w:b w:val="0"/>
              </w:rPr>
              <w:t>five years since discharge of sentence</w:t>
            </w:r>
          </w:p>
          <w:p w:rsidR="00031B00" w:rsidRDefault="00031B00" w:rsidP="00CF673F">
            <w:pPr>
              <w:pStyle w:val="Sectionnumber"/>
              <w:numPr>
                <w:ilvl w:val="0"/>
                <w:numId w:val="0"/>
              </w:numPr>
              <w:ind w:right="5"/>
              <w:rPr>
                <w:b w:val="0"/>
              </w:rPr>
            </w:pPr>
          </w:p>
          <w:p w:rsidR="000362FA" w:rsidRDefault="00C00E74" w:rsidP="00CF673F">
            <w:pPr>
              <w:pStyle w:val="Sectionnumber"/>
              <w:numPr>
                <w:ilvl w:val="0"/>
                <w:numId w:val="0"/>
              </w:numPr>
              <w:ind w:right="5"/>
              <w:rPr>
                <w:b w:val="0"/>
              </w:rPr>
            </w:pPr>
            <w:r>
              <w:rPr>
                <w:b w:val="0"/>
              </w:rPr>
              <w:br/>
            </w:r>
            <w:r w:rsidR="00031B00">
              <w:rPr>
                <w:b w:val="0"/>
              </w:rPr>
              <w:t xml:space="preserve">Senate </w:t>
            </w:r>
            <w:r w:rsidR="0072497C">
              <w:rPr>
                <w:b w:val="0"/>
              </w:rPr>
              <w:t>includes</w:t>
            </w:r>
            <w:r w:rsidR="000362FA">
              <w:rPr>
                <w:b w:val="0"/>
              </w:rPr>
              <w:t xml:space="preserve"> </w:t>
            </w:r>
            <w:r w:rsidR="00031B00">
              <w:rPr>
                <w:b w:val="0"/>
              </w:rPr>
              <w:t xml:space="preserve">more </w:t>
            </w:r>
            <w:r w:rsidR="000362FA">
              <w:rPr>
                <w:b w:val="0"/>
              </w:rPr>
              <w:t>felonies th</w:t>
            </w:r>
            <w:r w:rsidR="00031B00">
              <w:rPr>
                <w:b w:val="0"/>
              </w:rPr>
              <w:t>at are eligible for expungement:</w:t>
            </w:r>
          </w:p>
          <w:p w:rsidR="00972409" w:rsidRDefault="00031B00" w:rsidP="00972409">
            <w:pPr>
              <w:pStyle w:val="Sectionnumber"/>
              <w:numPr>
                <w:ilvl w:val="0"/>
                <w:numId w:val="20"/>
              </w:numPr>
              <w:ind w:right="5"/>
              <w:rPr>
                <w:b w:val="0"/>
              </w:rPr>
            </w:pPr>
            <w:r>
              <w:rPr>
                <w:b w:val="0"/>
              </w:rPr>
              <w:lastRenderedPageBreak/>
              <w:t xml:space="preserve">sale of synthetic </w:t>
            </w:r>
            <w:proofErr w:type="spellStart"/>
            <w:r>
              <w:rPr>
                <w:b w:val="0"/>
              </w:rPr>
              <w:t>cannabinoids</w:t>
            </w:r>
            <w:proofErr w:type="spellEnd"/>
          </w:p>
          <w:p w:rsidR="00972409" w:rsidRDefault="00972409" w:rsidP="00972409">
            <w:pPr>
              <w:pStyle w:val="Sectionnumber"/>
              <w:numPr>
                <w:ilvl w:val="0"/>
                <w:numId w:val="20"/>
              </w:numPr>
              <w:ind w:right="5"/>
              <w:rPr>
                <w:b w:val="0"/>
              </w:rPr>
            </w:pPr>
            <w:r>
              <w:rPr>
                <w:b w:val="0"/>
              </w:rPr>
              <w:t>contempt</w:t>
            </w:r>
          </w:p>
          <w:p w:rsidR="00972409" w:rsidRDefault="00972409" w:rsidP="00972409">
            <w:pPr>
              <w:pStyle w:val="Sectionnumber"/>
              <w:numPr>
                <w:ilvl w:val="0"/>
                <w:numId w:val="20"/>
              </w:numPr>
              <w:ind w:right="5"/>
              <w:rPr>
                <w:b w:val="0"/>
              </w:rPr>
            </w:pPr>
            <w:r>
              <w:rPr>
                <w:b w:val="0"/>
              </w:rPr>
              <w:t>deprivation of custodial or parental rights</w:t>
            </w:r>
          </w:p>
          <w:p w:rsidR="00972409" w:rsidRDefault="00972409" w:rsidP="00972409">
            <w:pPr>
              <w:pStyle w:val="Sectionnumber"/>
              <w:numPr>
                <w:ilvl w:val="0"/>
                <w:numId w:val="20"/>
              </w:numPr>
              <w:ind w:right="5"/>
              <w:rPr>
                <w:b w:val="0"/>
              </w:rPr>
            </w:pPr>
            <w:r>
              <w:rPr>
                <w:b w:val="0"/>
              </w:rPr>
              <w:t>nonsupport of spouse or child</w:t>
            </w:r>
          </w:p>
          <w:p w:rsidR="00972409" w:rsidRDefault="00972409" w:rsidP="00972409">
            <w:pPr>
              <w:pStyle w:val="Sectionnumber"/>
              <w:numPr>
                <w:ilvl w:val="0"/>
                <w:numId w:val="20"/>
              </w:numPr>
              <w:ind w:right="5"/>
              <w:rPr>
                <w:b w:val="0"/>
              </w:rPr>
            </w:pPr>
            <w:r>
              <w:rPr>
                <w:b w:val="0"/>
              </w:rPr>
              <w:t>prostitution crime in school or park zone</w:t>
            </w:r>
          </w:p>
          <w:p w:rsidR="00972409" w:rsidRDefault="00972409" w:rsidP="00972409">
            <w:pPr>
              <w:pStyle w:val="Sectionnumber"/>
              <w:numPr>
                <w:ilvl w:val="0"/>
                <w:numId w:val="20"/>
              </w:numPr>
              <w:ind w:right="5"/>
              <w:rPr>
                <w:b w:val="0"/>
              </w:rPr>
            </w:pPr>
            <w:r>
              <w:rPr>
                <w:b w:val="0"/>
              </w:rPr>
              <w:t>fleeing a police officer or aiding offender to avoid arrest</w:t>
            </w:r>
          </w:p>
          <w:p w:rsidR="00972409" w:rsidRDefault="00972409" w:rsidP="00972409">
            <w:pPr>
              <w:pStyle w:val="Sectionnumber"/>
              <w:numPr>
                <w:ilvl w:val="0"/>
                <w:numId w:val="20"/>
              </w:numPr>
              <w:ind w:right="5"/>
              <w:rPr>
                <w:b w:val="0"/>
              </w:rPr>
            </w:pPr>
            <w:r>
              <w:rPr>
                <w:b w:val="0"/>
              </w:rPr>
              <w:t>identity theft or receiving stolen goods</w:t>
            </w:r>
          </w:p>
          <w:p w:rsidR="00972409" w:rsidRDefault="00972409" w:rsidP="00972409">
            <w:pPr>
              <w:pStyle w:val="Sectionnumber"/>
              <w:numPr>
                <w:ilvl w:val="0"/>
                <w:numId w:val="20"/>
              </w:numPr>
              <w:ind w:right="5"/>
              <w:rPr>
                <w:b w:val="0"/>
              </w:rPr>
            </w:pPr>
            <w:r>
              <w:rPr>
                <w:b w:val="0"/>
              </w:rPr>
              <w:t>furnishing a dangerous weapon</w:t>
            </w:r>
            <w:r w:rsidR="00486EE1">
              <w:rPr>
                <w:b w:val="0"/>
              </w:rPr>
              <w:t xml:space="preserve"> or</w:t>
            </w:r>
            <w:r>
              <w:rPr>
                <w:b w:val="0"/>
              </w:rPr>
              <w:t xml:space="preserve"> removing or altering a serial number on firearm</w:t>
            </w:r>
          </w:p>
          <w:p w:rsidR="00614E1B" w:rsidRDefault="00614E1B" w:rsidP="00CF673F">
            <w:pPr>
              <w:pStyle w:val="Sectionnumber"/>
              <w:numPr>
                <w:ilvl w:val="0"/>
                <w:numId w:val="0"/>
              </w:numPr>
              <w:ind w:right="5"/>
              <w:rPr>
                <w:b w:val="0"/>
              </w:rPr>
            </w:pPr>
          </w:p>
          <w:p w:rsidR="007F001A" w:rsidRDefault="00031B00" w:rsidP="00CF673F">
            <w:pPr>
              <w:pStyle w:val="Sectionnumber"/>
              <w:numPr>
                <w:ilvl w:val="0"/>
                <w:numId w:val="0"/>
              </w:numPr>
              <w:ind w:right="5"/>
              <w:rPr>
                <w:b w:val="0"/>
              </w:rPr>
            </w:pPr>
            <w:r>
              <w:rPr>
                <w:b w:val="0"/>
              </w:rPr>
              <w:t>No comparable provision.</w:t>
            </w:r>
            <w:r>
              <w:rPr>
                <w:b w:val="0"/>
              </w:rPr>
              <w:br/>
            </w:r>
            <w:r>
              <w:rPr>
                <w:b w:val="0"/>
              </w:rPr>
              <w:br/>
            </w:r>
            <w:r>
              <w:rPr>
                <w:b w:val="0"/>
              </w:rPr>
              <w:br/>
            </w:r>
            <w:r w:rsidR="00972409">
              <w:rPr>
                <w:b w:val="0"/>
              </w:rPr>
              <w:t>No special effective date.</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Default="007F001A" w:rsidP="00C37C13">
            <w:pPr>
              <w:autoSpaceDE w:val="0"/>
              <w:autoSpaceDN w:val="0"/>
              <w:adjustRightInd w:val="0"/>
              <w:rPr>
                <w:szCs w:val="24"/>
              </w:rPr>
            </w:pPr>
            <w:proofErr w:type="spellStart"/>
            <w:r w:rsidRPr="0031688C">
              <w:rPr>
                <w:b/>
                <w:bCs/>
                <w:szCs w:val="24"/>
              </w:rPr>
              <w:t>Petitionless</w:t>
            </w:r>
            <w:proofErr w:type="spellEnd"/>
            <w:r w:rsidRPr="0031688C">
              <w:rPr>
                <w:b/>
                <w:bCs/>
                <w:szCs w:val="24"/>
              </w:rPr>
              <w:t xml:space="preserve"> expungement. </w:t>
            </w:r>
            <w:r w:rsidRPr="0031688C">
              <w:rPr>
                <w:szCs w:val="24"/>
              </w:rPr>
              <w:t xml:space="preserve"> Provides for expungement without the filing of a petition in certain cases where the prosecutor agrees to the sealing of a criminal record, unless the court determines that the interests of public safety in keeping the record outweigh the disadvantages to the subject. It would apply to the categories of persons authorized to seek an expungement under Minnesota Statutes, section 609A.02, subdivision 3 (see </w:t>
            </w:r>
            <w:r>
              <w:rPr>
                <w:bCs/>
                <w:szCs w:val="24"/>
              </w:rPr>
              <w:t>section 6</w:t>
            </w:r>
            <w:r w:rsidRPr="0031688C">
              <w:rPr>
                <w:szCs w:val="24"/>
              </w:rPr>
              <w:t>). A victim notification requirement is included.</w:t>
            </w:r>
          </w:p>
          <w:p w:rsidR="00972409" w:rsidRPr="0031688C" w:rsidRDefault="00972409" w:rsidP="00C37C13">
            <w:pPr>
              <w:autoSpaceDE w:val="0"/>
              <w:autoSpaceDN w:val="0"/>
              <w:adjustRightInd w:val="0"/>
              <w:rPr>
                <w:bCs/>
                <w:szCs w:val="24"/>
              </w:rPr>
            </w:pPr>
            <w:r w:rsidRPr="00A157D0">
              <w:rPr>
                <w:szCs w:val="24"/>
              </w:rPr>
              <w:t>Includes January 1, 2015 effective date.</w:t>
            </w:r>
          </w:p>
        </w:tc>
        <w:tc>
          <w:tcPr>
            <w:tcW w:w="9180" w:type="dxa"/>
          </w:tcPr>
          <w:p w:rsidR="007F001A" w:rsidRDefault="00861FD8" w:rsidP="00441E39">
            <w:pPr>
              <w:pStyle w:val="Sectionnumber"/>
              <w:numPr>
                <w:ilvl w:val="0"/>
                <w:numId w:val="0"/>
              </w:numPr>
              <w:ind w:right="5"/>
              <w:rPr>
                <w:b w:val="0"/>
              </w:rPr>
            </w:pPr>
            <w:r w:rsidRPr="00861FD8">
              <w:t>Section 5</w:t>
            </w:r>
            <w:r w:rsidRPr="00861FD8">
              <w:rPr>
                <w:b w:val="0"/>
              </w:rPr>
              <w:t xml:space="preserve"> </w:t>
            </w:r>
            <w:r w:rsidR="00441E39">
              <w:rPr>
                <w:b w:val="0"/>
              </w:rPr>
              <w:t xml:space="preserve">is </w:t>
            </w:r>
            <w:r w:rsidR="0072497C">
              <w:rPr>
                <w:b w:val="0"/>
              </w:rPr>
              <w:t>identical except for effective date</w:t>
            </w:r>
            <w:r w:rsidR="00441E39">
              <w:rPr>
                <w:b w:val="0"/>
              </w:rPr>
              <w:t>.</w:t>
            </w:r>
          </w:p>
          <w:p w:rsidR="00972409" w:rsidRDefault="00972409" w:rsidP="00441E39">
            <w:pPr>
              <w:pStyle w:val="Sectionnumber"/>
              <w:numPr>
                <w:ilvl w:val="0"/>
                <w:numId w:val="0"/>
              </w:numPr>
              <w:ind w:right="5"/>
              <w:rPr>
                <w:b w:val="0"/>
              </w:rPr>
            </w:pPr>
          </w:p>
          <w:p w:rsidR="00972409" w:rsidRDefault="00972409" w:rsidP="00441E39">
            <w:pPr>
              <w:pStyle w:val="Sectionnumber"/>
              <w:numPr>
                <w:ilvl w:val="0"/>
                <w:numId w:val="0"/>
              </w:numPr>
              <w:ind w:right="5"/>
              <w:rPr>
                <w:b w:val="0"/>
              </w:rPr>
            </w:pPr>
          </w:p>
          <w:p w:rsidR="00972409" w:rsidRDefault="00972409" w:rsidP="00441E39">
            <w:pPr>
              <w:pStyle w:val="Sectionnumber"/>
              <w:numPr>
                <w:ilvl w:val="0"/>
                <w:numId w:val="0"/>
              </w:numPr>
              <w:ind w:right="5"/>
              <w:rPr>
                <w:b w:val="0"/>
              </w:rPr>
            </w:pP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9B1AF4" w:rsidRDefault="007F001A" w:rsidP="00C37C13">
            <w:pPr>
              <w:autoSpaceDE w:val="0"/>
              <w:autoSpaceDN w:val="0"/>
              <w:adjustRightInd w:val="0"/>
              <w:rPr>
                <w:bCs/>
                <w:szCs w:val="24"/>
              </w:rPr>
            </w:pPr>
            <w:r>
              <w:rPr>
                <w:b/>
                <w:bCs/>
                <w:szCs w:val="24"/>
              </w:rPr>
              <w:t>Petition; filing fee.</w:t>
            </w:r>
            <w:r>
              <w:rPr>
                <w:bCs/>
                <w:szCs w:val="24"/>
              </w:rPr>
              <w:t xml:space="preserve">  Clarifies that the expungement petition filing fee waiver is not extended to the new categories of offenses eligible for expungement.</w:t>
            </w:r>
          </w:p>
        </w:tc>
        <w:tc>
          <w:tcPr>
            <w:tcW w:w="9180" w:type="dxa"/>
          </w:tcPr>
          <w:p w:rsidR="007F001A" w:rsidRDefault="000362FA" w:rsidP="00C37C13">
            <w:pPr>
              <w:pStyle w:val="Sectionnumber"/>
              <w:numPr>
                <w:ilvl w:val="0"/>
                <w:numId w:val="0"/>
              </w:numPr>
              <w:ind w:right="5"/>
              <w:rPr>
                <w:b w:val="0"/>
              </w:rPr>
            </w:pPr>
            <w:r w:rsidRPr="000362FA">
              <w:t>S</w:t>
            </w:r>
            <w:r w:rsidR="009B2545" w:rsidRPr="000362FA">
              <w:t>ection 6</w:t>
            </w:r>
            <w:r w:rsidR="009B2545">
              <w:rPr>
                <w:b w:val="0"/>
              </w:rPr>
              <w:t xml:space="preserve"> is identical.</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2497C" w:rsidRDefault="007F001A" w:rsidP="00C37C13">
            <w:pPr>
              <w:autoSpaceDE w:val="0"/>
              <w:autoSpaceDN w:val="0"/>
              <w:adjustRightInd w:val="0"/>
              <w:rPr>
                <w:szCs w:val="24"/>
              </w:rPr>
            </w:pPr>
            <w:r w:rsidRPr="0031688C">
              <w:rPr>
                <w:b/>
                <w:szCs w:val="24"/>
              </w:rPr>
              <w:t xml:space="preserve">Nature of remedy; standard.  </w:t>
            </w:r>
            <w:r w:rsidRPr="0031688C">
              <w:rPr>
                <w:szCs w:val="24"/>
              </w:rPr>
              <w:t>Amends the law governing the standards for granting an expungement. The general rule under current law is that the petitioner has the burden of proving by clear and convincing evidence that expungement would yield a benefit to the petitioner commensurate with the disadvantages to the public and public safety of sealing the record and burdening the court and other authorities. However, in cases where the proceedings were resolved in favor of the</w:t>
            </w:r>
            <w:r>
              <w:rPr>
                <w:szCs w:val="24"/>
              </w:rPr>
              <w:t xml:space="preserve"> </w:t>
            </w:r>
            <w:r w:rsidRPr="0031688C">
              <w:rPr>
                <w:szCs w:val="24"/>
              </w:rPr>
              <w:t xml:space="preserve">petitioner, the burden of proof switches to the agency or jurisdiction whose records would be affected. This amendment would add cases where the petitioner has successfully completed the terms of a diversion program to the situations where the agency has the burden of proof. For the other new categories in </w:t>
            </w:r>
            <w:r>
              <w:rPr>
                <w:bCs/>
                <w:szCs w:val="24"/>
              </w:rPr>
              <w:t>section 6</w:t>
            </w:r>
            <w:r w:rsidRPr="0031688C">
              <w:rPr>
                <w:szCs w:val="24"/>
              </w:rPr>
              <w:t xml:space="preserve">, the petitioner would continue to have the burden of proof. </w:t>
            </w:r>
          </w:p>
          <w:p w:rsidR="0072497C" w:rsidRDefault="007F001A" w:rsidP="00C37C13">
            <w:pPr>
              <w:autoSpaceDE w:val="0"/>
              <w:autoSpaceDN w:val="0"/>
              <w:adjustRightInd w:val="0"/>
              <w:rPr>
                <w:szCs w:val="24"/>
              </w:rPr>
            </w:pPr>
            <w:r w:rsidRPr="0031688C">
              <w:rPr>
                <w:szCs w:val="24"/>
              </w:rPr>
              <w:t>This section also includes additional factors to be considered by the court in making its determination. New language clarifies that</w:t>
            </w:r>
            <w:r>
              <w:rPr>
                <w:szCs w:val="24"/>
              </w:rPr>
              <w:t xml:space="preserve"> a court may order</w:t>
            </w:r>
            <w:r w:rsidRPr="0031688C">
              <w:rPr>
                <w:szCs w:val="24"/>
              </w:rPr>
              <w:t xml:space="preserve"> an expunge</w:t>
            </w:r>
            <w:r>
              <w:rPr>
                <w:szCs w:val="24"/>
              </w:rPr>
              <w:t>d re</w:t>
            </w:r>
            <w:r w:rsidRPr="0031688C">
              <w:rPr>
                <w:szCs w:val="24"/>
              </w:rPr>
              <w:t>cord</w:t>
            </w:r>
            <w:r>
              <w:rPr>
                <w:szCs w:val="24"/>
              </w:rPr>
              <w:t xml:space="preserve"> sealed</w:t>
            </w:r>
            <w:r w:rsidRPr="0031688C">
              <w:rPr>
                <w:szCs w:val="24"/>
              </w:rPr>
              <w:t>, regardless of whether it would otherwise be publ</w:t>
            </w:r>
            <w:r>
              <w:rPr>
                <w:szCs w:val="24"/>
              </w:rPr>
              <w:t xml:space="preserve">ic law enforcement or criminal </w:t>
            </w:r>
            <w:r w:rsidRPr="0031688C">
              <w:rPr>
                <w:szCs w:val="24"/>
              </w:rPr>
              <w:t>history data or public under other law</w:t>
            </w:r>
            <w:r w:rsidR="0072497C">
              <w:rPr>
                <w:szCs w:val="24"/>
              </w:rPr>
              <w:t>.</w:t>
            </w:r>
          </w:p>
          <w:p w:rsidR="007F001A" w:rsidRDefault="0072497C" w:rsidP="00C37C13">
            <w:pPr>
              <w:autoSpaceDE w:val="0"/>
              <w:autoSpaceDN w:val="0"/>
              <w:adjustRightInd w:val="0"/>
              <w:rPr>
                <w:szCs w:val="24"/>
              </w:rPr>
            </w:pPr>
            <w:r>
              <w:rPr>
                <w:szCs w:val="24"/>
              </w:rPr>
              <w:t xml:space="preserve">Existence of </w:t>
            </w:r>
            <w:r w:rsidR="00295170">
              <w:rPr>
                <w:szCs w:val="24"/>
              </w:rPr>
              <w:t>expunged</w:t>
            </w:r>
            <w:r>
              <w:rPr>
                <w:szCs w:val="24"/>
              </w:rPr>
              <w:t xml:space="preserve"> </w:t>
            </w:r>
            <w:r w:rsidR="007F001A">
              <w:rPr>
                <w:szCs w:val="24"/>
              </w:rPr>
              <w:t>record must be disclosed as part of mandated background check</w:t>
            </w:r>
            <w:r w:rsidR="007F001A" w:rsidRPr="0031688C">
              <w:rPr>
                <w:szCs w:val="24"/>
              </w:rPr>
              <w:t>.</w:t>
            </w:r>
          </w:p>
          <w:p w:rsidR="007F001A" w:rsidRDefault="007F001A" w:rsidP="00C37C13">
            <w:pPr>
              <w:autoSpaceDE w:val="0"/>
              <w:autoSpaceDN w:val="0"/>
              <w:adjustRightInd w:val="0"/>
              <w:rPr>
                <w:szCs w:val="24"/>
              </w:rPr>
            </w:pPr>
            <w:r>
              <w:rPr>
                <w:szCs w:val="24"/>
              </w:rPr>
              <w:t>Prohibits expunged records from being introduced in civil litigation against an employer or landlord for alleged misconduct of an employee or tenant, if the records were expunged before the occurrence giving rise to the civil action.</w:t>
            </w:r>
          </w:p>
          <w:p w:rsidR="003B72E6" w:rsidRPr="0031688C" w:rsidRDefault="003B72E6" w:rsidP="00C37C13">
            <w:pPr>
              <w:autoSpaceDE w:val="0"/>
              <w:autoSpaceDN w:val="0"/>
              <w:adjustRightInd w:val="0"/>
              <w:rPr>
                <w:bCs/>
                <w:szCs w:val="24"/>
              </w:rPr>
            </w:pPr>
            <w:r w:rsidRPr="00A157D0">
              <w:rPr>
                <w:szCs w:val="24"/>
              </w:rPr>
              <w:t>Includes January 1, 2015 effective date.</w:t>
            </w:r>
          </w:p>
        </w:tc>
        <w:tc>
          <w:tcPr>
            <w:tcW w:w="9180" w:type="dxa"/>
          </w:tcPr>
          <w:p w:rsidR="003B72E6" w:rsidRDefault="009B2545" w:rsidP="00441E39">
            <w:pPr>
              <w:pStyle w:val="Sectionnumber"/>
              <w:numPr>
                <w:ilvl w:val="0"/>
                <w:numId w:val="0"/>
              </w:numPr>
              <w:ind w:right="5"/>
              <w:rPr>
                <w:b w:val="0"/>
              </w:rPr>
            </w:pPr>
            <w:r w:rsidRPr="009B2545">
              <w:t>Section 7</w:t>
            </w:r>
            <w:r w:rsidRPr="009B2545">
              <w:rPr>
                <w:b w:val="0"/>
              </w:rPr>
              <w:t xml:space="preserve"> </w:t>
            </w:r>
            <w:r w:rsidR="00441E39">
              <w:rPr>
                <w:b w:val="0"/>
              </w:rPr>
              <w:t xml:space="preserve">is </w:t>
            </w:r>
            <w:r w:rsidR="0072497C">
              <w:rPr>
                <w:b w:val="0"/>
              </w:rPr>
              <w:t>similar.</w:t>
            </w:r>
            <w:r w:rsidR="00295170">
              <w:rPr>
                <w:b w:val="0"/>
              </w:rPr>
              <w:br/>
            </w:r>
            <w:r w:rsidR="00295170">
              <w:rPr>
                <w:b w:val="0"/>
              </w:rPr>
              <w:br/>
            </w:r>
            <w:r w:rsidR="00295170">
              <w:rPr>
                <w:b w:val="0"/>
              </w:rPr>
              <w:br/>
            </w:r>
            <w:r w:rsidR="00295170">
              <w:rPr>
                <w:b w:val="0"/>
              </w:rPr>
              <w:br/>
            </w:r>
            <w:r w:rsidR="00295170">
              <w:rPr>
                <w:b w:val="0"/>
              </w:rPr>
              <w:br/>
            </w:r>
            <w:r w:rsidR="00295170">
              <w:rPr>
                <w:b w:val="0"/>
              </w:rPr>
              <w:br/>
            </w:r>
            <w:r w:rsidR="00295170">
              <w:rPr>
                <w:b w:val="0"/>
              </w:rPr>
              <w:br/>
            </w:r>
            <w:r w:rsidR="00295170">
              <w:rPr>
                <w:b w:val="0"/>
              </w:rPr>
              <w:br/>
            </w:r>
            <w:r w:rsidR="00295170">
              <w:rPr>
                <w:b w:val="0"/>
              </w:rPr>
              <w:br/>
            </w:r>
          </w:p>
          <w:p w:rsidR="0072497C" w:rsidRDefault="00295170" w:rsidP="00441E39">
            <w:pPr>
              <w:pStyle w:val="Sectionnumber"/>
              <w:numPr>
                <w:ilvl w:val="0"/>
                <w:numId w:val="0"/>
              </w:numPr>
              <w:ind w:right="5"/>
              <w:rPr>
                <w:b w:val="0"/>
              </w:rPr>
            </w:pPr>
            <w:r>
              <w:rPr>
                <w:b w:val="0"/>
              </w:rPr>
              <w:t>House includes more factors for the court to consider.</w:t>
            </w:r>
            <w:r>
              <w:rPr>
                <w:b w:val="0"/>
              </w:rPr>
              <w:br/>
            </w:r>
            <w:r>
              <w:rPr>
                <w:b w:val="0"/>
              </w:rPr>
              <w:br/>
            </w:r>
            <w:r>
              <w:rPr>
                <w:b w:val="0"/>
              </w:rPr>
              <w:br/>
            </w:r>
          </w:p>
          <w:p w:rsidR="0072497C" w:rsidRDefault="0072497C" w:rsidP="00441E39">
            <w:pPr>
              <w:pStyle w:val="Sectionnumber"/>
              <w:numPr>
                <w:ilvl w:val="0"/>
                <w:numId w:val="0"/>
              </w:numPr>
              <w:ind w:right="5"/>
              <w:rPr>
                <w:b w:val="0"/>
              </w:rPr>
            </w:pPr>
            <w:r>
              <w:rPr>
                <w:b w:val="0"/>
              </w:rPr>
              <w:t>No comparable provision.</w:t>
            </w:r>
          </w:p>
          <w:p w:rsidR="0072497C" w:rsidRDefault="0072497C" w:rsidP="0072497C">
            <w:pPr>
              <w:pStyle w:val="Sectionnumber"/>
              <w:numPr>
                <w:ilvl w:val="0"/>
                <w:numId w:val="0"/>
              </w:numPr>
              <w:ind w:right="5"/>
              <w:rPr>
                <w:b w:val="0"/>
              </w:rPr>
            </w:pPr>
            <w:r>
              <w:rPr>
                <w:b w:val="0"/>
              </w:rPr>
              <w:t>No comparable provision.</w:t>
            </w:r>
          </w:p>
          <w:p w:rsidR="003B72E6" w:rsidRDefault="003B72E6" w:rsidP="00441E39">
            <w:pPr>
              <w:pStyle w:val="Sectionnumber"/>
              <w:numPr>
                <w:ilvl w:val="0"/>
                <w:numId w:val="0"/>
              </w:numPr>
              <w:ind w:right="5"/>
              <w:rPr>
                <w:b w:val="0"/>
              </w:rPr>
            </w:pPr>
          </w:p>
          <w:p w:rsidR="00972409" w:rsidRDefault="00972409" w:rsidP="00441E39">
            <w:pPr>
              <w:pStyle w:val="Sectionnumber"/>
              <w:numPr>
                <w:ilvl w:val="0"/>
                <w:numId w:val="0"/>
              </w:numPr>
              <w:ind w:right="5"/>
              <w:rPr>
                <w:b w:val="0"/>
              </w:rPr>
            </w:pPr>
            <w:r>
              <w:rPr>
                <w:b w:val="0"/>
              </w:rPr>
              <w:t>No special effective date.</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084773" w:rsidRDefault="007F001A" w:rsidP="00C37C13">
            <w:pPr>
              <w:autoSpaceDE w:val="0"/>
              <w:autoSpaceDN w:val="0"/>
              <w:adjustRightInd w:val="0"/>
              <w:rPr>
                <w:szCs w:val="24"/>
              </w:rPr>
            </w:pPr>
            <w:r>
              <w:rPr>
                <w:b/>
                <w:szCs w:val="24"/>
              </w:rPr>
              <w:t>Order when context and circumstances of the underlying crime indicate a nexus between the criminal record to be expunged and person’s status as a crime victim.</w:t>
            </w:r>
            <w:r>
              <w:rPr>
                <w:szCs w:val="24"/>
              </w:rPr>
              <w:t xml:space="preserve">  Creates special protections for persons who have a record expunged and the person </w:t>
            </w:r>
            <w:proofErr w:type="gramStart"/>
            <w:r>
              <w:rPr>
                <w:szCs w:val="24"/>
              </w:rPr>
              <w:t>is</w:t>
            </w:r>
            <w:proofErr w:type="gramEnd"/>
            <w:r>
              <w:rPr>
                <w:szCs w:val="24"/>
              </w:rPr>
              <w:t xml:space="preserve"> deemed a crime victim and there is a nexus between the expunged record and the person’s status as a crime victim.</w:t>
            </w:r>
          </w:p>
        </w:tc>
        <w:tc>
          <w:tcPr>
            <w:tcW w:w="9180" w:type="dxa"/>
          </w:tcPr>
          <w:p w:rsidR="007F001A" w:rsidRDefault="0034557B" w:rsidP="00C37C13">
            <w:pPr>
              <w:pStyle w:val="Sectionnumber"/>
              <w:numPr>
                <w:ilvl w:val="0"/>
                <w:numId w:val="0"/>
              </w:numPr>
              <w:ind w:right="5"/>
              <w:rPr>
                <w:b w:val="0"/>
              </w:rPr>
            </w:pPr>
            <w:r>
              <w:rPr>
                <w:b w:val="0"/>
              </w:rPr>
              <w:t>No comparable provision.</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8B38F3" w:rsidRDefault="007F001A" w:rsidP="00C37C13">
            <w:pPr>
              <w:autoSpaceDE w:val="0"/>
              <w:autoSpaceDN w:val="0"/>
              <w:adjustRightInd w:val="0"/>
              <w:rPr>
                <w:szCs w:val="24"/>
              </w:rPr>
            </w:pPr>
            <w:r>
              <w:rPr>
                <w:b/>
                <w:szCs w:val="24"/>
              </w:rPr>
              <w:t xml:space="preserve">Limitations of statutory expungement.  </w:t>
            </w:r>
            <w:r>
              <w:rPr>
                <w:szCs w:val="24"/>
              </w:rPr>
              <w:t>Establishes that current standards for accessing expunged records apply to records expunged prior to January 1, 2015.</w:t>
            </w:r>
          </w:p>
        </w:tc>
        <w:tc>
          <w:tcPr>
            <w:tcW w:w="9180" w:type="dxa"/>
          </w:tcPr>
          <w:p w:rsidR="007F001A" w:rsidRDefault="00F51A77" w:rsidP="001E2C1D">
            <w:pPr>
              <w:pStyle w:val="Sectionnumber"/>
              <w:numPr>
                <w:ilvl w:val="0"/>
                <w:numId w:val="0"/>
              </w:numPr>
              <w:ind w:right="5"/>
              <w:rPr>
                <w:b w:val="0"/>
              </w:rPr>
            </w:pPr>
            <w:r>
              <w:rPr>
                <w:b w:val="0"/>
              </w:rPr>
              <w:t>No comparable provision.</w:t>
            </w:r>
          </w:p>
        </w:tc>
      </w:tr>
      <w:tr w:rsidR="007F001A" w:rsidTr="003B72E6">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31688C" w:rsidRDefault="007F001A" w:rsidP="00C37C13">
            <w:pPr>
              <w:autoSpaceDE w:val="0"/>
              <w:autoSpaceDN w:val="0"/>
              <w:adjustRightInd w:val="0"/>
              <w:rPr>
                <w:szCs w:val="24"/>
              </w:rPr>
            </w:pPr>
            <w:r w:rsidRPr="0031688C">
              <w:rPr>
                <w:b/>
                <w:bCs/>
                <w:szCs w:val="24"/>
              </w:rPr>
              <w:t>Limitations on statutory expungement</w:t>
            </w:r>
            <w:r>
              <w:rPr>
                <w:b/>
                <w:bCs/>
                <w:szCs w:val="24"/>
              </w:rPr>
              <w:t xml:space="preserve"> (</w:t>
            </w:r>
            <w:r>
              <w:rPr>
                <w:b/>
                <w:bCs/>
                <w:i/>
                <w:szCs w:val="24"/>
              </w:rPr>
              <w:t>prospective)</w:t>
            </w:r>
            <w:r w:rsidRPr="0031688C">
              <w:rPr>
                <w:b/>
                <w:bCs/>
                <w:szCs w:val="24"/>
              </w:rPr>
              <w:t>.</w:t>
            </w:r>
            <w:r w:rsidRPr="0031688C">
              <w:rPr>
                <w:bCs/>
                <w:szCs w:val="24"/>
              </w:rPr>
              <w:t xml:space="preserve">  </w:t>
            </w:r>
            <w:r>
              <w:rPr>
                <w:bCs/>
                <w:szCs w:val="24"/>
              </w:rPr>
              <w:t>A</w:t>
            </w:r>
            <w:r w:rsidRPr="0031688C">
              <w:rPr>
                <w:szCs w:val="24"/>
              </w:rPr>
              <w:t>mends the law governing access to</w:t>
            </w:r>
            <w:r>
              <w:rPr>
                <w:szCs w:val="24"/>
              </w:rPr>
              <w:t xml:space="preserve"> records expunged on or after January 1, 2015.</w:t>
            </w:r>
            <w:r w:rsidRPr="0031688C">
              <w:rPr>
                <w:szCs w:val="24"/>
              </w:rPr>
              <w:t xml:space="preserve"> </w:t>
            </w:r>
            <w:r>
              <w:rPr>
                <w:szCs w:val="24"/>
              </w:rPr>
              <w:t xml:space="preserve"> Except for in certain cases where a person was found not guilty, the n</w:t>
            </w:r>
            <w:r w:rsidRPr="0031688C">
              <w:rPr>
                <w:szCs w:val="24"/>
              </w:rPr>
              <w:t>ew language allows the</w:t>
            </w:r>
            <w:r>
              <w:rPr>
                <w:szCs w:val="24"/>
              </w:rPr>
              <w:t xml:space="preserve"> </w:t>
            </w:r>
            <w:r w:rsidRPr="0031688C">
              <w:rPr>
                <w:szCs w:val="24"/>
              </w:rPr>
              <w:t>exchange of expunged records between criminal justice agencies, similar to the current</w:t>
            </w:r>
            <w:r>
              <w:rPr>
                <w:szCs w:val="24"/>
              </w:rPr>
              <w:t xml:space="preserve"> </w:t>
            </w:r>
            <w:r w:rsidRPr="0031688C">
              <w:rPr>
                <w:szCs w:val="24"/>
              </w:rPr>
              <w:t>authority for the exchange of law enforcement data under Minnesota Statutes, section 13.82,</w:t>
            </w:r>
            <w:r>
              <w:rPr>
                <w:szCs w:val="24"/>
              </w:rPr>
              <w:t xml:space="preserve"> </w:t>
            </w:r>
            <w:r w:rsidRPr="0031688C">
              <w:rPr>
                <w:szCs w:val="24"/>
              </w:rPr>
              <w:t>subdivision 24. This replaces and expands current law, which authorizes opening an expunged record for a criminal investigation, prosecution, or sentencing but requires an ex parte court</w:t>
            </w:r>
            <w:r>
              <w:rPr>
                <w:szCs w:val="24"/>
              </w:rPr>
              <w:t xml:space="preserve"> </w:t>
            </w:r>
            <w:r w:rsidRPr="0031688C">
              <w:rPr>
                <w:szCs w:val="24"/>
              </w:rPr>
              <w:t>order.</w:t>
            </w:r>
          </w:p>
          <w:p w:rsidR="007F001A" w:rsidRDefault="007F001A" w:rsidP="00C37C13">
            <w:pPr>
              <w:autoSpaceDE w:val="0"/>
              <w:autoSpaceDN w:val="0"/>
              <w:adjustRightInd w:val="0"/>
              <w:rPr>
                <w:szCs w:val="24"/>
              </w:rPr>
            </w:pPr>
            <w:r w:rsidRPr="0031688C">
              <w:rPr>
                <w:szCs w:val="24"/>
              </w:rPr>
              <w:t>Under current law, if law enforcement, prosecution, or corrections authorities request access to</w:t>
            </w:r>
            <w:r>
              <w:rPr>
                <w:szCs w:val="24"/>
              </w:rPr>
              <w:t xml:space="preserve"> </w:t>
            </w:r>
            <w:r w:rsidRPr="0031688C">
              <w:rPr>
                <w:szCs w:val="24"/>
              </w:rPr>
              <w:t>a record subject to an expungement order, they must be informed of the existence of the record</w:t>
            </w:r>
            <w:r>
              <w:rPr>
                <w:szCs w:val="24"/>
              </w:rPr>
              <w:t xml:space="preserve"> </w:t>
            </w:r>
            <w:r w:rsidRPr="0031688C">
              <w:rPr>
                <w:szCs w:val="24"/>
              </w:rPr>
              <w:t>and the right to obtain access to it with a court order. This language is modified, consistent with</w:t>
            </w:r>
            <w:r>
              <w:rPr>
                <w:szCs w:val="24"/>
              </w:rPr>
              <w:t xml:space="preserve"> </w:t>
            </w:r>
            <w:r w:rsidRPr="0031688C">
              <w:rPr>
                <w:szCs w:val="24"/>
              </w:rPr>
              <w:t>the new provision allowing the exchange of expunged records, to require an agency or</w:t>
            </w:r>
            <w:r>
              <w:rPr>
                <w:szCs w:val="24"/>
              </w:rPr>
              <w:t xml:space="preserve"> </w:t>
            </w:r>
            <w:r w:rsidRPr="0031688C">
              <w:rPr>
                <w:szCs w:val="24"/>
              </w:rPr>
              <w:t>jurisdiction subject to an order to maintain the record in a manner that provides access by a</w:t>
            </w:r>
            <w:r>
              <w:rPr>
                <w:szCs w:val="24"/>
              </w:rPr>
              <w:t xml:space="preserve"> </w:t>
            </w:r>
            <w:r w:rsidRPr="0031688C">
              <w:rPr>
                <w:szCs w:val="24"/>
              </w:rPr>
              <w:t>criminal justice agency but informs the recipient that the record is sealed. If a request is made</w:t>
            </w:r>
            <w:r>
              <w:rPr>
                <w:szCs w:val="24"/>
              </w:rPr>
              <w:t xml:space="preserve"> </w:t>
            </w:r>
            <w:r w:rsidRPr="0031688C">
              <w:rPr>
                <w:szCs w:val="24"/>
              </w:rPr>
              <w:t>by the commissioner of human services, the commissioner must be notified of the existence of</w:t>
            </w:r>
            <w:r>
              <w:rPr>
                <w:szCs w:val="24"/>
              </w:rPr>
              <w:t xml:space="preserve"> </w:t>
            </w:r>
            <w:r w:rsidRPr="0031688C">
              <w:rPr>
                <w:szCs w:val="24"/>
              </w:rPr>
              <w:t>the record and of the right to obtain access to it. Language is added explicitly stating that an</w:t>
            </w:r>
            <w:r>
              <w:rPr>
                <w:szCs w:val="24"/>
              </w:rPr>
              <w:t xml:space="preserve"> </w:t>
            </w:r>
            <w:r w:rsidRPr="0031688C">
              <w:rPr>
                <w:szCs w:val="24"/>
              </w:rPr>
              <w:t>expunged record remains subject to the expungement order in the hands of the person receiving</w:t>
            </w:r>
            <w:r>
              <w:rPr>
                <w:szCs w:val="24"/>
              </w:rPr>
              <w:t xml:space="preserve"> </w:t>
            </w:r>
            <w:r w:rsidRPr="0031688C">
              <w:rPr>
                <w:szCs w:val="24"/>
              </w:rPr>
              <w:t>it.</w:t>
            </w:r>
          </w:p>
          <w:p w:rsidR="003B72E6" w:rsidRPr="00031B00" w:rsidRDefault="00031B00" w:rsidP="00C37C13">
            <w:pPr>
              <w:autoSpaceDE w:val="0"/>
              <w:autoSpaceDN w:val="0"/>
              <w:adjustRightInd w:val="0"/>
              <w:rPr>
                <w:szCs w:val="24"/>
              </w:rPr>
            </w:pPr>
            <w:r>
              <w:rPr>
                <w:szCs w:val="24"/>
              </w:rPr>
              <w:t xml:space="preserve">See </w:t>
            </w:r>
            <w:r w:rsidRPr="00031B00">
              <w:rPr>
                <w:b/>
                <w:szCs w:val="24"/>
              </w:rPr>
              <w:t>House section 9</w:t>
            </w:r>
            <w:r>
              <w:rPr>
                <w:b/>
                <w:szCs w:val="24"/>
              </w:rPr>
              <w:t xml:space="preserve">, </w:t>
            </w:r>
            <w:r>
              <w:rPr>
                <w:szCs w:val="24"/>
              </w:rPr>
              <w:t>which requires disclosure of existence of expunged record, but not contents, for statutorily mandated background check.</w:t>
            </w:r>
          </w:p>
          <w:p w:rsidR="003B72E6" w:rsidRDefault="003B72E6" w:rsidP="00C37C13">
            <w:pPr>
              <w:autoSpaceDE w:val="0"/>
              <w:autoSpaceDN w:val="0"/>
              <w:adjustRightInd w:val="0"/>
              <w:rPr>
                <w:b/>
                <w:szCs w:val="24"/>
              </w:rPr>
            </w:pPr>
          </w:p>
          <w:p w:rsidR="0072497C" w:rsidRDefault="0072497C" w:rsidP="0072497C">
            <w:pPr>
              <w:pStyle w:val="Sectionnumber"/>
              <w:numPr>
                <w:ilvl w:val="0"/>
                <w:numId w:val="0"/>
              </w:numPr>
              <w:ind w:right="5"/>
              <w:rPr>
                <w:b w:val="0"/>
              </w:rPr>
            </w:pPr>
            <w:r>
              <w:rPr>
                <w:b w:val="0"/>
              </w:rPr>
              <w:t>No comparable provision.</w:t>
            </w:r>
          </w:p>
          <w:p w:rsidR="00500EA1" w:rsidRDefault="00500EA1" w:rsidP="00C37C13">
            <w:pPr>
              <w:autoSpaceDE w:val="0"/>
              <w:autoSpaceDN w:val="0"/>
              <w:adjustRightInd w:val="0"/>
              <w:rPr>
                <w:b/>
                <w:szCs w:val="24"/>
              </w:rPr>
            </w:pPr>
            <w:r>
              <w:rPr>
                <w:b/>
                <w:szCs w:val="24"/>
              </w:rPr>
              <w:br/>
            </w:r>
          </w:p>
          <w:p w:rsidR="007F001A" w:rsidRPr="00973BDC" w:rsidRDefault="007F001A" w:rsidP="00C37C13">
            <w:pPr>
              <w:autoSpaceDE w:val="0"/>
              <w:autoSpaceDN w:val="0"/>
              <w:adjustRightInd w:val="0"/>
              <w:rPr>
                <w:bCs/>
                <w:szCs w:val="24"/>
              </w:rPr>
            </w:pPr>
            <w:r w:rsidRPr="00973BDC">
              <w:rPr>
                <w:b/>
                <w:szCs w:val="24"/>
              </w:rPr>
              <w:t>Effective date.</w:t>
            </w:r>
            <w:r>
              <w:rPr>
                <w:szCs w:val="24"/>
              </w:rPr>
              <w:t xml:space="preserve"> Applies to records expunged on or after January 1, 2015.</w:t>
            </w:r>
          </w:p>
        </w:tc>
        <w:tc>
          <w:tcPr>
            <w:tcW w:w="9180" w:type="dxa"/>
          </w:tcPr>
          <w:p w:rsidR="00F51A77" w:rsidRDefault="00F51A77" w:rsidP="00F51A77">
            <w:pPr>
              <w:pStyle w:val="Sectionnumber"/>
              <w:numPr>
                <w:ilvl w:val="0"/>
                <w:numId w:val="0"/>
              </w:numPr>
              <w:ind w:right="5"/>
              <w:rPr>
                <w:b w:val="0"/>
              </w:rPr>
            </w:pPr>
            <w:r w:rsidRPr="0044540F">
              <w:t>Section 8</w:t>
            </w:r>
            <w:r w:rsidRPr="0044540F">
              <w:rPr>
                <w:b w:val="0"/>
              </w:rPr>
              <w:t xml:space="preserve"> </w:t>
            </w:r>
            <w:r w:rsidR="003B72E6">
              <w:rPr>
                <w:b w:val="0"/>
              </w:rPr>
              <w:t>is similar.</w:t>
            </w: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3B72E6" w:rsidP="00F51A77">
            <w:pPr>
              <w:pStyle w:val="Sectionnumber"/>
              <w:numPr>
                <w:ilvl w:val="0"/>
                <w:numId w:val="0"/>
              </w:numPr>
              <w:ind w:right="5"/>
              <w:rPr>
                <w:b w:val="0"/>
              </w:rPr>
            </w:pPr>
          </w:p>
          <w:p w:rsidR="003B72E6" w:rsidRDefault="0072497C" w:rsidP="00F51A77">
            <w:pPr>
              <w:pStyle w:val="Sectionnumber"/>
              <w:numPr>
                <w:ilvl w:val="0"/>
                <w:numId w:val="0"/>
              </w:numPr>
              <w:ind w:right="5"/>
              <w:rPr>
                <w:b w:val="0"/>
              </w:rPr>
            </w:pPr>
            <w:r>
              <w:rPr>
                <w:b w:val="0"/>
              </w:rPr>
              <w:br/>
            </w:r>
          </w:p>
          <w:p w:rsidR="00F51A77" w:rsidRPr="00F51A77" w:rsidRDefault="00031B00" w:rsidP="00F51A77">
            <w:pPr>
              <w:pStyle w:val="Sectionnumber"/>
              <w:numPr>
                <w:ilvl w:val="0"/>
                <w:numId w:val="0"/>
              </w:numPr>
              <w:ind w:right="5"/>
            </w:pPr>
            <w:r>
              <w:rPr>
                <w:b w:val="0"/>
              </w:rPr>
              <w:t>A</w:t>
            </w:r>
            <w:r w:rsidR="00F51A77" w:rsidRPr="0044540F">
              <w:rPr>
                <w:b w:val="0"/>
              </w:rPr>
              <w:t>llows an expunged record of a conviction to be opened for purposes of a</w:t>
            </w:r>
            <w:r w:rsidR="00F51A77">
              <w:rPr>
                <w:b w:val="0"/>
              </w:rPr>
              <w:t xml:space="preserve"> </w:t>
            </w:r>
            <w:r w:rsidR="00F51A77" w:rsidRPr="0044540F">
              <w:rPr>
                <w:b w:val="0"/>
              </w:rPr>
              <w:t xml:space="preserve">background check required under </w:t>
            </w:r>
            <w:r w:rsidR="00F51A77" w:rsidRPr="0044540F">
              <w:t>section 122A.18</w:t>
            </w:r>
            <w:r w:rsidR="00F51A77" w:rsidRPr="0044540F">
              <w:rPr>
                <w:b w:val="0"/>
              </w:rPr>
              <w:t>, subdivision 8 (licensing of teachers and</w:t>
            </w:r>
            <w:r w:rsidR="00F51A77">
              <w:rPr>
                <w:b w:val="0"/>
              </w:rPr>
              <w:t xml:space="preserve"> </w:t>
            </w:r>
            <w:r w:rsidR="00F51A77" w:rsidRPr="0044540F">
              <w:rPr>
                <w:b w:val="0"/>
              </w:rPr>
              <w:t>other school professionals), unless the expungement order is directed specifically to the</w:t>
            </w:r>
            <w:r w:rsidR="00F51A77">
              <w:rPr>
                <w:b w:val="0"/>
              </w:rPr>
              <w:t xml:space="preserve"> </w:t>
            </w:r>
            <w:r w:rsidR="00F51A77" w:rsidRPr="0044540F">
              <w:rPr>
                <w:b w:val="0"/>
              </w:rPr>
              <w:t>licensing authority</w:t>
            </w:r>
            <w:r>
              <w:rPr>
                <w:b w:val="0"/>
              </w:rPr>
              <w:t>.</w:t>
            </w:r>
          </w:p>
          <w:p w:rsidR="007F001A" w:rsidRDefault="00F51A77" w:rsidP="003B72E6">
            <w:pPr>
              <w:pStyle w:val="Sectionnumber"/>
              <w:numPr>
                <w:ilvl w:val="0"/>
                <w:numId w:val="0"/>
              </w:numPr>
              <w:ind w:right="5"/>
              <w:rPr>
                <w:b w:val="0"/>
              </w:rPr>
            </w:pPr>
            <w:r w:rsidRPr="001E2C1D">
              <w:t>Paragraph (d)</w:t>
            </w:r>
            <w:r w:rsidRPr="0044540F">
              <w:rPr>
                <w:b w:val="0"/>
              </w:rPr>
              <w:t xml:space="preserve"> requires a criminal justice agency that receives an expunged record to destroy</w:t>
            </w:r>
            <w:r>
              <w:rPr>
                <w:b w:val="0"/>
              </w:rPr>
              <w:t xml:space="preserve"> </w:t>
            </w:r>
            <w:r w:rsidRPr="0044540F">
              <w:rPr>
                <w:b w:val="0"/>
              </w:rPr>
              <w:t>the record when the investigation becomes inactive or it is no longer needed for the purpose for</w:t>
            </w:r>
            <w:r>
              <w:rPr>
                <w:b w:val="0"/>
              </w:rPr>
              <w:t xml:space="preserve"> </w:t>
            </w:r>
            <w:r w:rsidRPr="0044540F">
              <w:rPr>
                <w:b w:val="0"/>
              </w:rPr>
              <w:t>which it was obtained.</w:t>
            </w:r>
          </w:p>
          <w:p w:rsidR="003B72E6" w:rsidRDefault="003B72E6" w:rsidP="003B72E6">
            <w:pPr>
              <w:pStyle w:val="Sectionnumber"/>
              <w:numPr>
                <w:ilvl w:val="0"/>
                <w:numId w:val="0"/>
              </w:numPr>
              <w:ind w:right="5"/>
              <w:rPr>
                <w:b w:val="0"/>
              </w:rPr>
            </w:pPr>
            <w:r>
              <w:rPr>
                <w:b w:val="0"/>
              </w:rPr>
              <w:t>No special effective date</w:t>
            </w:r>
            <w:r w:rsidR="00031B00">
              <w:rPr>
                <w:b w:val="0"/>
              </w:rPr>
              <w:t xml:space="preserve"> or application provision</w:t>
            </w:r>
            <w:r>
              <w:rPr>
                <w:b w:val="0"/>
              </w:rPr>
              <w:t>.</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31688C" w:rsidRDefault="007F001A" w:rsidP="00C37C13">
            <w:pPr>
              <w:autoSpaceDE w:val="0"/>
              <w:autoSpaceDN w:val="0"/>
              <w:adjustRightInd w:val="0"/>
              <w:rPr>
                <w:bCs/>
                <w:szCs w:val="24"/>
              </w:rPr>
            </w:pPr>
            <w:r w:rsidRPr="0031688C">
              <w:rPr>
                <w:b/>
                <w:bCs/>
                <w:szCs w:val="24"/>
              </w:rPr>
              <w:t>Distribution and confirmation of expungement order.</w:t>
            </w:r>
            <w:r w:rsidRPr="0031688C">
              <w:rPr>
                <w:bCs/>
                <w:szCs w:val="24"/>
              </w:rPr>
              <w:t xml:space="preserve">  </w:t>
            </w:r>
            <w:r w:rsidRPr="0031688C">
              <w:rPr>
                <w:szCs w:val="24"/>
              </w:rPr>
              <w:t>Expands the current requirements related to distribution of expungement orders to require court administrators to notify petitioners of the entities that received the order and to</w:t>
            </w:r>
            <w:r>
              <w:rPr>
                <w:szCs w:val="24"/>
              </w:rPr>
              <w:t xml:space="preserve"> </w:t>
            </w:r>
            <w:r w:rsidRPr="0031688C">
              <w:rPr>
                <w:szCs w:val="24"/>
              </w:rPr>
              <w:t xml:space="preserve">require those entities to </w:t>
            </w:r>
            <w:r w:rsidRPr="0031688C">
              <w:rPr>
                <w:szCs w:val="24"/>
              </w:rPr>
              <w:lastRenderedPageBreak/>
              <w:t xml:space="preserve">send a letter to the petitioner confirming that the record is expunged. Data on the petitioners </w:t>
            </w:r>
            <w:r>
              <w:rPr>
                <w:szCs w:val="24"/>
              </w:rPr>
              <w:t xml:space="preserve">mentioned </w:t>
            </w:r>
            <w:r w:rsidRPr="0031688C">
              <w:rPr>
                <w:szCs w:val="24"/>
              </w:rPr>
              <w:t>in these letters is classified as private data.</w:t>
            </w:r>
          </w:p>
        </w:tc>
        <w:tc>
          <w:tcPr>
            <w:tcW w:w="9180" w:type="dxa"/>
          </w:tcPr>
          <w:p w:rsidR="007F001A" w:rsidRDefault="00174BC6" w:rsidP="000362FA">
            <w:pPr>
              <w:pStyle w:val="Sectionnumber"/>
              <w:numPr>
                <w:ilvl w:val="0"/>
                <w:numId w:val="0"/>
              </w:numPr>
              <w:ind w:right="5"/>
              <w:rPr>
                <w:b w:val="0"/>
              </w:rPr>
            </w:pPr>
            <w:r w:rsidRPr="000362FA">
              <w:lastRenderedPageBreak/>
              <w:t>Section 9</w:t>
            </w:r>
            <w:r>
              <w:rPr>
                <w:b w:val="0"/>
              </w:rPr>
              <w:t xml:space="preserve"> is identical except for the effective date.</w:t>
            </w:r>
          </w:p>
        </w:tc>
      </w:tr>
      <w:tr w:rsidR="00174BC6" w:rsidTr="00C37C13">
        <w:trPr>
          <w:trHeight w:val="422"/>
        </w:trPr>
        <w:tc>
          <w:tcPr>
            <w:tcW w:w="599" w:type="dxa"/>
            <w:tcMar>
              <w:right w:w="43" w:type="dxa"/>
            </w:tcMar>
          </w:tcPr>
          <w:p w:rsidR="00174BC6" w:rsidRDefault="00174BC6" w:rsidP="00174BC6">
            <w:pPr>
              <w:pStyle w:val="Sectionnumber"/>
              <w:numPr>
                <w:ilvl w:val="0"/>
                <w:numId w:val="0"/>
              </w:numPr>
            </w:pPr>
          </w:p>
        </w:tc>
        <w:tc>
          <w:tcPr>
            <w:tcW w:w="8909" w:type="dxa"/>
          </w:tcPr>
          <w:p w:rsidR="00174BC6" w:rsidRPr="00174BC6" w:rsidRDefault="00174BC6" w:rsidP="00C37C13">
            <w:pPr>
              <w:autoSpaceDE w:val="0"/>
              <w:autoSpaceDN w:val="0"/>
              <w:adjustRightInd w:val="0"/>
              <w:rPr>
                <w:bCs/>
                <w:szCs w:val="24"/>
              </w:rPr>
            </w:pPr>
            <w:r w:rsidRPr="00174BC6">
              <w:rPr>
                <w:bCs/>
                <w:szCs w:val="24"/>
              </w:rPr>
              <w:t>No comparable provision</w:t>
            </w:r>
            <w:r>
              <w:rPr>
                <w:bCs/>
                <w:szCs w:val="24"/>
              </w:rPr>
              <w:t>.</w:t>
            </w:r>
          </w:p>
        </w:tc>
        <w:tc>
          <w:tcPr>
            <w:tcW w:w="9180" w:type="dxa"/>
          </w:tcPr>
          <w:p w:rsidR="00174BC6" w:rsidRDefault="00174BC6" w:rsidP="00174BC6">
            <w:pPr>
              <w:pStyle w:val="Sectionnumber"/>
              <w:numPr>
                <w:ilvl w:val="0"/>
                <w:numId w:val="0"/>
              </w:numPr>
              <w:ind w:right="5"/>
              <w:rPr>
                <w:b w:val="0"/>
              </w:rPr>
            </w:pPr>
            <w:r w:rsidRPr="00174BC6">
              <w:t>Section 10</w:t>
            </w:r>
            <w:r w:rsidRPr="00174BC6">
              <w:rPr>
                <w:b w:val="0"/>
              </w:rPr>
              <w:t xml:space="preserve"> includes a civil remedy for individuals whose expunged record is opened or</w:t>
            </w:r>
            <w:r>
              <w:rPr>
                <w:b w:val="0"/>
              </w:rPr>
              <w:t xml:space="preserve"> </w:t>
            </w:r>
            <w:r w:rsidRPr="00174BC6">
              <w:rPr>
                <w:b w:val="0"/>
              </w:rPr>
              <w:t>exchanged in a manner not authorized by law. The remedy under the Data Practices Act would</w:t>
            </w:r>
            <w:r>
              <w:rPr>
                <w:b w:val="0"/>
              </w:rPr>
              <w:t xml:space="preserve"> </w:t>
            </w:r>
            <w:r w:rsidRPr="00174BC6">
              <w:rPr>
                <w:b w:val="0"/>
              </w:rPr>
              <w:t>apply, which includes damages and reasonable attorney fees and, for willful violations,</w:t>
            </w:r>
            <w:r>
              <w:rPr>
                <w:b w:val="0"/>
              </w:rPr>
              <w:t xml:space="preserve"> </w:t>
            </w:r>
            <w:r w:rsidRPr="00174BC6">
              <w:rPr>
                <w:b w:val="0"/>
              </w:rPr>
              <w:t>exemplary damages of $1,000 to $15,000.</w:t>
            </w:r>
          </w:p>
        </w:tc>
      </w:tr>
      <w:tr w:rsidR="007F001A" w:rsidTr="001125CF">
        <w:trPr>
          <w:cantSplit/>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Pr="008B38F3" w:rsidRDefault="007F001A" w:rsidP="00C37C13">
            <w:pPr>
              <w:autoSpaceDE w:val="0"/>
              <w:autoSpaceDN w:val="0"/>
              <w:adjustRightInd w:val="0"/>
              <w:rPr>
                <w:bCs/>
                <w:szCs w:val="24"/>
              </w:rPr>
            </w:pPr>
            <w:r>
              <w:rPr>
                <w:b/>
                <w:bCs/>
                <w:szCs w:val="24"/>
              </w:rPr>
              <w:t>Agency compliance.</w:t>
            </w:r>
            <w:r>
              <w:rPr>
                <w:bCs/>
                <w:szCs w:val="24"/>
              </w:rPr>
              <w:t xml:space="preserve">  Requires criminal justice agencies to comply with section 12 by January 1, 2016.</w:t>
            </w:r>
          </w:p>
        </w:tc>
        <w:tc>
          <w:tcPr>
            <w:tcW w:w="9180" w:type="dxa"/>
          </w:tcPr>
          <w:p w:rsidR="007F001A" w:rsidRDefault="00174BC6" w:rsidP="00C37C13">
            <w:pPr>
              <w:pStyle w:val="Sectionnumber"/>
              <w:numPr>
                <w:ilvl w:val="0"/>
                <w:numId w:val="0"/>
              </w:numPr>
              <w:ind w:right="5"/>
              <w:rPr>
                <w:b w:val="0"/>
              </w:rPr>
            </w:pPr>
            <w:r>
              <w:rPr>
                <w:b w:val="0"/>
              </w:rPr>
              <w:t>No comparable provision.</w:t>
            </w:r>
          </w:p>
        </w:tc>
      </w:tr>
      <w:tr w:rsidR="007F001A" w:rsidTr="00C37C13">
        <w:trPr>
          <w:trHeight w:val="422"/>
        </w:trPr>
        <w:tc>
          <w:tcPr>
            <w:tcW w:w="599" w:type="dxa"/>
            <w:tcMar>
              <w:right w:w="43" w:type="dxa"/>
            </w:tcMar>
          </w:tcPr>
          <w:p w:rsidR="007F001A" w:rsidRDefault="007F001A" w:rsidP="007F001A">
            <w:pPr>
              <w:pStyle w:val="Sectionnumber"/>
              <w:numPr>
                <w:ilvl w:val="0"/>
                <w:numId w:val="4"/>
              </w:numPr>
            </w:pPr>
          </w:p>
        </w:tc>
        <w:tc>
          <w:tcPr>
            <w:tcW w:w="8909" w:type="dxa"/>
          </w:tcPr>
          <w:p w:rsidR="007F001A" w:rsidRDefault="007F001A" w:rsidP="00C37C13">
            <w:pPr>
              <w:autoSpaceDE w:val="0"/>
              <w:autoSpaceDN w:val="0"/>
              <w:adjustRightInd w:val="0"/>
              <w:rPr>
                <w:bCs/>
                <w:szCs w:val="24"/>
              </w:rPr>
            </w:pPr>
            <w:r>
              <w:rPr>
                <w:b/>
                <w:bCs/>
                <w:szCs w:val="24"/>
              </w:rPr>
              <w:t>Appropriation.</w:t>
            </w:r>
            <w:r>
              <w:rPr>
                <w:bCs/>
                <w:szCs w:val="24"/>
              </w:rPr>
              <w:t xml:space="preserve">  </w:t>
            </w:r>
          </w:p>
          <w:p w:rsidR="007F001A" w:rsidRDefault="007F001A" w:rsidP="00C37C13">
            <w:pPr>
              <w:autoSpaceDE w:val="0"/>
              <w:autoSpaceDN w:val="0"/>
              <w:adjustRightInd w:val="0"/>
              <w:rPr>
                <w:bCs/>
                <w:szCs w:val="24"/>
              </w:rPr>
            </w:pPr>
            <w:r>
              <w:rPr>
                <w:bCs/>
                <w:szCs w:val="24"/>
              </w:rPr>
              <w:t xml:space="preserve">           </w:t>
            </w:r>
            <w:r>
              <w:rPr>
                <w:b/>
                <w:bCs/>
                <w:szCs w:val="24"/>
              </w:rPr>
              <w:t xml:space="preserve">Subd. 1.  Public safety.  </w:t>
            </w:r>
            <w:r>
              <w:rPr>
                <w:bCs/>
                <w:szCs w:val="24"/>
              </w:rPr>
              <w:t>Appropriates $600,000 in FY15 to the BCA.</w:t>
            </w:r>
          </w:p>
          <w:p w:rsidR="007F001A" w:rsidRPr="009B1AF4" w:rsidRDefault="007F001A" w:rsidP="00C37C13">
            <w:pPr>
              <w:autoSpaceDE w:val="0"/>
              <w:autoSpaceDN w:val="0"/>
              <w:adjustRightInd w:val="0"/>
              <w:rPr>
                <w:bCs/>
                <w:szCs w:val="24"/>
              </w:rPr>
            </w:pPr>
            <w:r>
              <w:rPr>
                <w:bCs/>
                <w:szCs w:val="24"/>
              </w:rPr>
              <w:t xml:space="preserve">           </w:t>
            </w:r>
            <w:r>
              <w:rPr>
                <w:b/>
                <w:bCs/>
                <w:szCs w:val="24"/>
              </w:rPr>
              <w:t xml:space="preserve">Subd. 2. </w:t>
            </w:r>
            <w:r w:rsidRPr="009B1AF4">
              <w:rPr>
                <w:b/>
                <w:bCs/>
                <w:szCs w:val="24"/>
              </w:rPr>
              <w:t xml:space="preserve"> Human services.</w:t>
            </w:r>
            <w:r>
              <w:rPr>
                <w:bCs/>
                <w:szCs w:val="24"/>
              </w:rPr>
              <w:t xml:space="preserve">  Appropriates $82,000 in FY15 to Commissioner of            Human Services.</w:t>
            </w:r>
          </w:p>
        </w:tc>
        <w:tc>
          <w:tcPr>
            <w:tcW w:w="9180" w:type="dxa"/>
          </w:tcPr>
          <w:p w:rsidR="007F001A" w:rsidRDefault="00CF290C" w:rsidP="00C37C13">
            <w:pPr>
              <w:pStyle w:val="Sectionnumber"/>
              <w:numPr>
                <w:ilvl w:val="0"/>
                <w:numId w:val="0"/>
              </w:numPr>
              <w:ind w:right="5"/>
              <w:rPr>
                <w:b w:val="0"/>
              </w:rPr>
            </w:pPr>
            <w:r>
              <w:rPr>
                <w:b w:val="0"/>
              </w:rPr>
              <w:t>See UEH3172-2, article 5, appropriating a matching $600,000 to public safety and $98,000 to human services.</w:t>
            </w:r>
          </w:p>
        </w:tc>
      </w:tr>
    </w:tbl>
    <w:p w:rsidR="00DE3607" w:rsidRDefault="00DE3607"/>
    <w:sectPr w:rsidR="00DE3607" w:rsidSect="00410F1F">
      <w:footerReference w:type="default" r:id="rId10"/>
      <w:pgSz w:w="20160" w:h="12240" w:orient="landscape" w:code="5"/>
      <w:pgMar w:top="720" w:right="720" w:bottom="720" w:left="1008" w:header="720" w:footer="288"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E1" w:rsidRDefault="00486EE1" w:rsidP="00C37C13">
      <w:pPr>
        <w:spacing w:before="0" w:after="0"/>
      </w:pPr>
      <w:r>
        <w:separator/>
      </w:r>
    </w:p>
  </w:endnote>
  <w:endnote w:type="continuationSeparator" w:id="0">
    <w:p w:rsidR="00486EE1" w:rsidRDefault="00486EE1" w:rsidP="00C37C1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1" w:rsidRDefault="00486EE1">
    <w:pPr>
      <w:pStyle w:val="Footer"/>
      <w:tabs>
        <w:tab w:val="clear" w:pos="4320"/>
        <w:tab w:val="clear" w:pos="8640"/>
        <w:tab w:val="center" w:pos="5040"/>
        <w:tab w:val="right" w:pos="10800"/>
      </w:tabs>
    </w:pPr>
    <w:r>
      <w:tab/>
      <w:t>-</w:t>
    </w:r>
    <w:r w:rsidR="0026109D">
      <w:rPr>
        <w:rStyle w:val="PageNumber"/>
      </w:rPr>
      <w:fldChar w:fldCharType="begin"/>
    </w:r>
    <w:r>
      <w:rPr>
        <w:rStyle w:val="PageNumber"/>
      </w:rPr>
      <w:instrText xml:space="preserve"> PAGE </w:instrText>
    </w:r>
    <w:r w:rsidR="0026109D">
      <w:rPr>
        <w:rStyle w:val="PageNumber"/>
      </w:rPr>
      <w:fldChar w:fldCharType="separate"/>
    </w:r>
    <w:r>
      <w:rPr>
        <w:rStyle w:val="PageNumber"/>
        <w:noProof/>
      </w:rPr>
      <w:t>2</w:t>
    </w:r>
    <w:r w:rsidR="0026109D">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1" w:rsidRDefault="00486EE1">
    <w:pPr>
      <w:tabs>
        <w:tab w:val="left" w:pos="0"/>
        <w:tab w:val="left" w:pos="1980"/>
        <w:tab w:val="left" w:pos="2340"/>
        <w:tab w:val="left" w:pos="2700"/>
        <w:tab w:val="left" w:pos="3060"/>
        <w:tab w:val="left" w:pos="10800"/>
      </w:tabs>
      <w:spacing w:before="240" w:beforeAutospacing="0" w:after="0" w:afterAutospacing="0"/>
      <w:jc w:val="center"/>
      <w:rPr>
        <w:sz w:val="22"/>
      </w:rPr>
    </w:pPr>
    <w:r>
      <w:rPr>
        <w:sz w:val="22"/>
      </w:rPr>
      <w:t xml:space="preserve">This publication can be made available in alternative format upon request.  Please call 651-296-6753 (voice); </w:t>
    </w:r>
  </w:p>
  <w:p w:rsidR="00486EE1" w:rsidRDefault="00486EE1">
    <w:pPr>
      <w:tabs>
        <w:tab w:val="left" w:pos="0"/>
        <w:tab w:val="left" w:pos="1980"/>
        <w:tab w:val="left" w:pos="2340"/>
        <w:tab w:val="left" w:pos="2700"/>
        <w:tab w:val="left" w:pos="3060"/>
        <w:tab w:val="left" w:pos="10800"/>
      </w:tabs>
      <w:spacing w:before="0" w:beforeAutospacing="0" w:after="0" w:afterAutospacing="0"/>
      <w:jc w:val="center"/>
      <w:rPr>
        <w:sz w:val="22"/>
      </w:rPr>
    </w:pPr>
    <w:proofErr w:type="gramStart"/>
    <w:r>
      <w:rPr>
        <w:sz w:val="22"/>
      </w:rPr>
      <w:t>or</w:t>
    </w:r>
    <w:proofErr w:type="gramEnd"/>
    <w:r>
      <w:rPr>
        <w:sz w:val="22"/>
      </w:rPr>
      <w:t xml:space="preserve"> the Minnesota State Relay Service at 1-800-627-3529 (TTY) for assistance.</w:t>
    </w:r>
  </w:p>
  <w:p w:rsidR="00486EE1" w:rsidRDefault="00486EE1">
    <w:pPr>
      <w:pStyle w:val="Footer"/>
      <w:spacing w:before="0" w:beforeAutospacing="0" w:after="0" w:afterAutospacing="0"/>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1" w:rsidRDefault="00486EE1">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E1" w:rsidRDefault="00486EE1" w:rsidP="00C37C13">
      <w:pPr>
        <w:spacing w:before="0" w:after="0"/>
      </w:pPr>
      <w:r>
        <w:separator/>
      </w:r>
    </w:p>
  </w:footnote>
  <w:footnote w:type="continuationSeparator" w:id="0">
    <w:p w:rsidR="00486EE1" w:rsidRDefault="00486EE1" w:rsidP="00C37C1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1" w:rsidRDefault="00486EE1" w:rsidP="00C37C13">
    <w:pPr>
      <w:pStyle w:val="Header"/>
      <w:tabs>
        <w:tab w:val="clear" w:pos="4320"/>
        <w:tab w:val="clear" w:pos="8640"/>
        <w:tab w:val="right" w:pos="18450"/>
        <w:tab w:val="right" w:pos="18810"/>
      </w:tabs>
      <w:spacing w:after="0"/>
      <w:rPr>
        <w:rStyle w:val="PageNumber"/>
      </w:rPr>
    </w:pPr>
    <w:r>
      <w:rPr>
        <w:sz w:val="20"/>
      </w:rPr>
      <w:t>Comparison of House File 2576-6/Senate File UEH2576-1</w:t>
    </w:r>
    <w:r>
      <w:rPr>
        <w:sz w:val="20"/>
      </w:rPr>
      <w:tab/>
      <w:t>April 30, 2014</w:t>
    </w:r>
    <w:r>
      <w:rPr>
        <w:sz w:val="20"/>
      </w:rPr>
      <w:br/>
    </w:r>
    <w:r>
      <w:rPr>
        <w:sz w:val="20"/>
      </w:rPr>
      <w:tab/>
      <w:t xml:space="preserve">Page </w:t>
    </w:r>
    <w:r w:rsidR="0026109D" w:rsidRPr="00410F1F">
      <w:rPr>
        <w:sz w:val="20"/>
      </w:rPr>
      <w:fldChar w:fldCharType="begin"/>
    </w:r>
    <w:r w:rsidRPr="00410F1F">
      <w:rPr>
        <w:sz w:val="20"/>
      </w:rPr>
      <w:instrText xml:space="preserve"> PAGE   \* MERGEFORMAT </w:instrText>
    </w:r>
    <w:r w:rsidR="0026109D" w:rsidRPr="00410F1F">
      <w:rPr>
        <w:sz w:val="20"/>
      </w:rPr>
      <w:fldChar w:fldCharType="separate"/>
    </w:r>
    <w:r w:rsidR="00B05B4B">
      <w:rPr>
        <w:noProof/>
        <w:sz w:val="20"/>
      </w:rPr>
      <w:t>2</w:t>
    </w:r>
    <w:r w:rsidR="0026109D" w:rsidRPr="00410F1F">
      <w:rPr>
        <w:sz w:val="20"/>
      </w:rPr>
      <w:fldChar w:fldCharType="end"/>
    </w:r>
    <w:r>
      <w:rPr>
        <w:sz w:val="20"/>
      </w:rPr>
      <w:br/>
    </w:r>
  </w:p>
  <w:p w:rsidR="00486EE1" w:rsidRDefault="00486EE1">
    <w:pPr>
      <w:pStyle w:val="Header"/>
      <w:tabs>
        <w:tab w:val="clear" w:pos="4320"/>
        <w:tab w:val="clear" w:pos="8640"/>
        <w:tab w:val="left" w:pos="4050"/>
        <w:tab w:val="left" w:pos="12690"/>
        <w:tab w:val="left" w:pos="15570"/>
        <w:tab w:val="right" w:pos="18810"/>
      </w:tabs>
      <w:rPr>
        <w:sz w:val="20"/>
      </w:rPr>
    </w:pPr>
    <w:r>
      <w:rPr>
        <w:rStyle w:val="PageNumber"/>
      </w:rPr>
      <w:tab/>
      <w:t>HOUSE</w:t>
    </w:r>
    <w:r>
      <w:rPr>
        <w:rStyle w:val="PageNumber"/>
      </w:rPr>
      <w:tab/>
      <w:t>SENATE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F113066"/>
    <w:multiLevelType w:val="hybridMultilevel"/>
    <w:tmpl w:val="C99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31BF0"/>
    <w:multiLevelType w:val="hybridMultilevel"/>
    <w:tmpl w:val="FCD0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5">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6864E1"/>
    <w:multiLevelType w:val="hybridMultilevel"/>
    <w:tmpl w:val="8BB6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A0179"/>
    <w:multiLevelType w:val="singleLevel"/>
    <w:tmpl w:val="0BD8BFB8"/>
    <w:lvl w:ilvl="0">
      <w:start w:val="1"/>
      <w:numFmt w:val="decimal"/>
      <w:lvlText w:val="%1"/>
      <w:lvlJc w:val="left"/>
      <w:pPr>
        <w:tabs>
          <w:tab w:val="num" w:pos="360"/>
        </w:tabs>
        <w:ind w:left="360" w:hanging="360"/>
      </w:p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3821C8A"/>
    <w:multiLevelType w:val="hybridMultilevel"/>
    <w:tmpl w:val="134E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2">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5"/>
  </w:num>
  <w:num w:numId="6">
    <w:abstractNumId w:val="13"/>
  </w:num>
  <w:num w:numId="7">
    <w:abstractNumId w:val="16"/>
  </w:num>
  <w:num w:numId="8">
    <w:abstractNumId w:val="8"/>
  </w:num>
  <w:num w:numId="9">
    <w:abstractNumId w:val="11"/>
  </w:num>
  <w:num w:numId="10">
    <w:abstractNumId w:val="4"/>
  </w:num>
  <w:num w:numId="11">
    <w:abstractNumId w:val="15"/>
  </w:num>
  <w:num w:numId="12">
    <w:abstractNumId w:val="14"/>
  </w:num>
  <w:num w:numId="13">
    <w:abstractNumId w:val="12"/>
  </w:num>
  <w:num w:numId="14">
    <w:abstractNumId w:val="0"/>
  </w:num>
  <w:num w:numId="15">
    <w:abstractNumId w:val="0"/>
    <w:lvlOverride w:ilvl="0">
      <w:startOverride w:val="1"/>
    </w:lvlOverride>
  </w:num>
  <w:num w:numId="16">
    <w:abstractNumId w:val="3"/>
  </w:num>
  <w:num w:numId="17">
    <w:abstractNumId w:val="0"/>
  </w:num>
  <w:num w:numId="18">
    <w:abstractNumId w:val="6"/>
  </w:num>
  <w:num w:numId="19">
    <w:abstractNumId w:val="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
  <w:rsids>
    <w:rsidRoot w:val="00243F19"/>
    <w:rsid w:val="00031B00"/>
    <w:rsid w:val="000362FA"/>
    <w:rsid w:val="000E732E"/>
    <w:rsid w:val="001125CF"/>
    <w:rsid w:val="00174BC6"/>
    <w:rsid w:val="001B4D2A"/>
    <w:rsid w:val="001E2C1D"/>
    <w:rsid w:val="002038AD"/>
    <w:rsid w:val="00243F19"/>
    <w:rsid w:val="0026109D"/>
    <w:rsid w:val="002627A1"/>
    <w:rsid w:val="00280602"/>
    <w:rsid w:val="00295170"/>
    <w:rsid w:val="00340B00"/>
    <w:rsid w:val="0034557B"/>
    <w:rsid w:val="00385289"/>
    <w:rsid w:val="003B72E6"/>
    <w:rsid w:val="00410F1F"/>
    <w:rsid w:val="00441E39"/>
    <w:rsid w:val="0044540F"/>
    <w:rsid w:val="00486EE1"/>
    <w:rsid w:val="00500EA1"/>
    <w:rsid w:val="00554EBB"/>
    <w:rsid w:val="00614E1B"/>
    <w:rsid w:val="0072497C"/>
    <w:rsid w:val="007F001A"/>
    <w:rsid w:val="007F442F"/>
    <w:rsid w:val="00861FD8"/>
    <w:rsid w:val="0087700D"/>
    <w:rsid w:val="008A33E1"/>
    <w:rsid w:val="0092446B"/>
    <w:rsid w:val="00972409"/>
    <w:rsid w:val="009B2545"/>
    <w:rsid w:val="00A157D0"/>
    <w:rsid w:val="00A1770B"/>
    <w:rsid w:val="00B05B4B"/>
    <w:rsid w:val="00B15401"/>
    <w:rsid w:val="00C00E74"/>
    <w:rsid w:val="00C37C13"/>
    <w:rsid w:val="00C90C8A"/>
    <w:rsid w:val="00CF290C"/>
    <w:rsid w:val="00CF673F"/>
    <w:rsid w:val="00DB7788"/>
    <w:rsid w:val="00DE3607"/>
    <w:rsid w:val="00F51A77"/>
    <w:rsid w:val="00FB4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07"/>
    <w:pPr>
      <w:spacing w:before="100" w:beforeAutospacing="1" w:after="100" w:afterAutospacing="1"/>
    </w:pPr>
    <w:rPr>
      <w:sz w:val="24"/>
    </w:rPr>
  </w:style>
  <w:style w:type="paragraph" w:styleId="Heading1">
    <w:name w:val="heading 1"/>
    <w:basedOn w:val="Normal"/>
    <w:next w:val="Normal"/>
    <w:qFormat/>
    <w:rsid w:val="00DE3607"/>
    <w:pPr>
      <w:keepNext/>
      <w:tabs>
        <w:tab w:val="left" w:pos="-360"/>
        <w:tab w:val="left" w:pos="0"/>
        <w:tab w:val="left" w:pos="2070"/>
        <w:tab w:val="left" w:pos="2817"/>
        <w:tab w:val="left" w:pos="5580"/>
      </w:tabs>
      <w:jc w:val="center"/>
      <w:outlineLvl w:val="0"/>
    </w:pPr>
    <w:rPr>
      <w:b/>
    </w:rPr>
  </w:style>
  <w:style w:type="paragraph" w:styleId="Heading2">
    <w:name w:val="heading 2"/>
    <w:basedOn w:val="Normal"/>
    <w:next w:val="Normal"/>
    <w:qFormat/>
    <w:rsid w:val="00DE3607"/>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DE3607"/>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DE3607"/>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E3607"/>
    <w:pPr>
      <w:tabs>
        <w:tab w:val="center" w:pos="4320"/>
        <w:tab w:val="right" w:pos="8640"/>
      </w:tabs>
    </w:pPr>
  </w:style>
  <w:style w:type="paragraph" w:styleId="Footer">
    <w:name w:val="footer"/>
    <w:basedOn w:val="Normal"/>
    <w:semiHidden/>
    <w:rsid w:val="00DE3607"/>
    <w:pPr>
      <w:tabs>
        <w:tab w:val="center" w:pos="4320"/>
        <w:tab w:val="right" w:pos="8640"/>
      </w:tabs>
    </w:pPr>
  </w:style>
  <w:style w:type="character" w:styleId="PageNumber">
    <w:name w:val="page number"/>
    <w:basedOn w:val="DefaultParagraphFont"/>
    <w:semiHidden/>
    <w:rsid w:val="00DE3607"/>
    <w:rPr>
      <w:sz w:val="20"/>
    </w:rPr>
  </w:style>
  <w:style w:type="paragraph" w:customStyle="1" w:styleId="Sectionnumber">
    <w:name w:val="Section number"/>
    <w:basedOn w:val="Normal"/>
    <w:rsid w:val="00DE3607"/>
    <w:pPr>
      <w:numPr>
        <w:numId w:val="14"/>
      </w:numPr>
    </w:pPr>
    <w:rPr>
      <w:b/>
    </w:rPr>
  </w:style>
  <w:style w:type="paragraph" w:styleId="BodyText">
    <w:name w:val="Body Text"/>
    <w:basedOn w:val="Normal"/>
    <w:semiHidden/>
    <w:rsid w:val="00DE3607"/>
    <w:pPr>
      <w:spacing w:after="120"/>
    </w:pPr>
    <w:rPr>
      <w:b/>
    </w:rPr>
  </w:style>
  <w:style w:type="paragraph" w:styleId="TOC1">
    <w:name w:val="toc 1"/>
    <w:basedOn w:val="Normal"/>
    <w:next w:val="Normal"/>
    <w:autoRedefine/>
    <w:semiHidden/>
    <w:rsid w:val="00DE3607"/>
    <w:pPr>
      <w:tabs>
        <w:tab w:val="right" w:leader="dot" w:pos="8467"/>
      </w:tabs>
      <w:ind w:left="1440"/>
    </w:pPr>
  </w:style>
  <w:style w:type="paragraph" w:styleId="ListParagraph">
    <w:name w:val="List Paragraph"/>
    <w:basedOn w:val="Normal"/>
    <w:uiPriority w:val="34"/>
    <w:qFormat/>
    <w:rsid w:val="007F001A"/>
    <w:pPr>
      <w:spacing w:before="0" w:beforeAutospacing="0" w:after="120" w:afterAutospacing="0"/>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Other%20HRD\Side%20by%20side%20comp%20-%20Public%20Safety%20Master%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Side by side comp - Public Safety Master .dotm</Template>
  <TotalTime>1</TotalTime>
  <Pages>7</Pages>
  <Words>1913</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Julie Fastner</dc:creator>
  <cp:lastModifiedBy>Software Administration</cp:lastModifiedBy>
  <cp:revision>2</cp:revision>
  <cp:lastPrinted>2014-05-01T14:42:00Z</cp:lastPrinted>
  <dcterms:created xsi:type="dcterms:W3CDTF">2014-05-01T15:07:00Z</dcterms:created>
  <dcterms:modified xsi:type="dcterms:W3CDTF">2014-05-01T15:07:00Z</dcterms:modified>
</cp:coreProperties>
</file>