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DB812" w14:textId="77777777" w:rsidR="00EE3374" w:rsidRPr="00B02392" w:rsidRDefault="00EE3374" w:rsidP="00EE3374">
      <w:pPr>
        <w:jc w:val="center"/>
      </w:pPr>
      <w:r w:rsidRPr="00B02392">
        <w:rPr>
          <w:noProof/>
        </w:rPr>
        <w:drawing>
          <wp:inline distT="0" distB="0" distL="0" distR="0" wp14:anchorId="11D9D6C0" wp14:editId="6D10380C">
            <wp:extent cx="1503843" cy="722044"/>
            <wp:effectExtent l="0" t="0" r="1270" b="1905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50097" cy="744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B51A6" w14:textId="5BF1F181" w:rsidR="00EE3374" w:rsidRDefault="00EE3374" w:rsidP="00EE3374">
      <w:pPr>
        <w:jc w:val="center"/>
        <w:rPr>
          <w:color w:val="002060"/>
        </w:rPr>
      </w:pPr>
      <w:bookmarkStart w:id="0" w:name="_Hlk94531616"/>
      <w:r w:rsidRPr="00B02392">
        <w:rPr>
          <w:color w:val="002060"/>
        </w:rPr>
        <w:t>Legal Services Advocacy Project</w:t>
      </w:r>
    </w:p>
    <w:p w14:paraId="6BCAD27A" w14:textId="77777777" w:rsidR="00B02392" w:rsidRPr="00B02392" w:rsidRDefault="00B02392" w:rsidP="00EE3374">
      <w:pPr>
        <w:jc w:val="center"/>
        <w:rPr>
          <w:color w:val="002060"/>
        </w:rPr>
      </w:pPr>
    </w:p>
    <w:bookmarkEnd w:id="0"/>
    <w:p w14:paraId="624D915E" w14:textId="3079C3CB" w:rsidR="00EE3374" w:rsidRPr="00B02392" w:rsidRDefault="00EE3374" w:rsidP="00EE3374">
      <w:pPr>
        <w:jc w:val="center"/>
        <w:rPr>
          <w:b/>
          <w:bCs/>
        </w:rPr>
      </w:pPr>
      <w:r w:rsidRPr="00B02392">
        <w:rPr>
          <w:b/>
          <w:bCs/>
        </w:rPr>
        <w:t xml:space="preserve">HF </w:t>
      </w:r>
      <w:r w:rsidR="00FC4F2E" w:rsidRPr="00B02392">
        <w:rPr>
          <w:b/>
          <w:bCs/>
        </w:rPr>
        <w:t>815 / SF 665</w:t>
      </w:r>
    </w:p>
    <w:p w14:paraId="16E1F6A5" w14:textId="2E7F4E33" w:rsidR="00EE3374" w:rsidRPr="00B02392" w:rsidRDefault="00853E2C" w:rsidP="00EE3374">
      <w:pPr>
        <w:jc w:val="center"/>
        <w:rPr>
          <w:b/>
          <w:bCs/>
        </w:rPr>
      </w:pPr>
      <w:r w:rsidRPr="00B02392">
        <w:rPr>
          <w:b/>
          <w:bCs/>
        </w:rPr>
        <w:t xml:space="preserve">Assignment of </w:t>
      </w:r>
      <w:r w:rsidR="00FC4F2E" w:rsidRPr="00B02392">
        <w:rPr>
          <w:b/>
          <w:bCs/>
        </w:rPr>
        <w:t>Military Pay/Benefits – Technical Fix</w:t>
      </w:r>
    </w:p>
    <w:p w14:paraId="65BAF6AE" w14:textId="5D0F4F16" w:rsidR="00B02392" w:rsidRDefault="00B02392" w:rsidP="00045FA5">
      <w:pPr>
        <w:spacing w:after="0" w:line="240" w:lineRule="auto"/>
        <w:rPr>
          <w:b/>
          <w:bCs/>
        </w:rPr>
      </w:pPr>
      <w:r>
        <w:rPr>
          <w:b/>
          <w:bCs/>
        </w:rPr>
        <w:t>Authors</w:t>
      </w:r>
      <w:r w:rsidR="00883F3F">
        <w:rPr>
          <w:rStyle w:val="FootnoteReference"/>
          <w:b/>
          <w:bCs/>
        </w:rPr>
        <w:footnoteReference w:id="1"/>
      </w:r>
    </w:p>
    <w:p w14:paraId="1EAA49D7" w14:textId="7EF88FEB" w:rsidR="00B02392" w:rsidRPr="00045FA5" w:rsidRDefault="00B02392" w:rsidP="00045FA5">
      <w:pPr>
        <w:pStyle w:val="ListParagraph"/>
        <w:numPr>
          <w:ilvl w:val="0"/>
          <w:numId w:val="7"/>
        </w:numPr>
        <w:rPr>
          <w:b/>
          <w:bCs/>
          <w:sz w:val="22"/>
          <w:szCs w:val="22"/>
        </w:rPr>
      </w:pPr>
      <w:r w:rsidRPr="00045FA5">
        <w:rPr>
          <w:sz w:val="22"/>
          <w:szCs w:val="22"/>
        </w:rPr>
        <w:t xml:space="preserve">House:    </w:t>
      </w:r>
      <w:r w:rsidRPr="00045FA5">
        <w:rPr>
          <w:sz w:val="22"/>
          <w:szCs w:val="22"/>
        </w:rPr>
        <w:tab/>
        <w:t>Rep. Matt Bliss (chief); Chair Jerry Newton (co-author).</w:t>
      </w:r>
    </w:p>
    <w:p w14:paraId="38487EDB" w14:textId="79976578" w:rsidR="00B02392" w:rsidRPr="00045FA5" w:rsidRDefault="00B02392" w:rsidP="00045FA5">
      <w:pPr>
        <w:pStyle w:val="ListParagraph"/>
        <w:numPr>
          <w:ilvl w:val="0"/>
          <w:numId w:val="7"/>
        </w:numPr>
        <w:ind w:right="-900"/>
        <w:rPr>
          <w:b/>
          <w:bCs/>
          <w:sz w:val="22"/>
          <w:szCs w:val="22"/>
        </w:rPr>
      </w:pPr>
      <w:r w:rsidRPr="00045FA5">
        <w:rPr>
          <w:sz w:val="22"/>
          <w:szCs w:val="22"/>
        </w:rPr>
        <w:t>Senate:</w:t>
      </w:r>
      <w:r w:rsidRPr="00045FA5">
        <w:rPr>
          <w:sz w:val="22"/>
          <w:szCs w:val="22"/>
        </w:rPr>
        <w:tab/>
      </w:r>
      <w:r w:rsidR="00883F3F" w:rsidRPr="00045FA5">
        <w:rPr>
          <w:sz w:val="22"/>
          <w:szCs w:val="22"/>
        </w:rPr>
        <w:t>Sen. Bruce Anderson (chief); Chair Erin Murphy and Sen. Andrew Lang (co-authors)</w:t>
      </w:r>
    </w:p>
    <w:p w14:paraId="72A41B4D" w14:textId="77777777" w:rsidR="00B02392" w:rsidRDefault="00B02392" w:rsidP="00EE3374">
      <w:pPr>
        <w:rPr>
          <w:b/>
          <w:bCs/>
        </w:rPr>
      </w:pPr>
    </w:p>
    <w:p w14:paraId="7797A574" w14:textId="506FF8AE" w:rsidR="00FC4F2E" w:rsidRPr="00B02392" w:rsidRDefault="00FC4F2E" w:rsidP="000E7835">
      <w:pPr>
        <w:spacing w:after="0" w:line="240" w:lineRule="auto"/>
        <w:rPr>
          <w:b/>
          <w:bCs/>
        </w:rPr>
      </w:pPr>
      <w:r w:rsidRPr="00B02392">
        <w:rPr>
          <w:b/>
          <w:bCs/>
        </w:rPr>
        <w:t>Background</w:t>
      </w:r>
    </w:p>
    <w:p w14:paraId="6D0CB079" w14:textId="09DA9C74" w:rsidR="00FC4F2E" w:rsidRPr="00B02392" w:rsidRDefault="00FC4F2E" w:rsidP="000E7835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B02392">
        <w:rPr>
          <w:sz w:val="22"/>
          <w:szCs w:val="22"/>
        </w:rPr>
        <w:t xml:space="preserve">In 2018, </w:t>
      </w:r>
      <w:r w:rsidR="007F22AA" w:rsidRPr="00B02392">
        <w:rPr>
          <w:sz w:val="22"/>
          <w:szCs w:val="22"/>
        </w:rPr>
        <w:t>the Minnesota Legislature passed a bill that prohibits predatory lending practices perpetrated against military servicemembers and veterans</w:t>
      </w:r>
      <w:r w:rsidR="00C3102E" w:rsidRPr="00B02392">
        <w:rPr>
          <w:sz w:val="22"/>
          <w:szCs w:val="22"/>
        </w:rPr>
        <w:t>.</w:t>
      </w:r>
    </w:p>
    <w:p w14:paraId="22B0CC8F" w14:textId="77777777" w:rsidR="00C3102E" w:rsidRPr="00B02392" w:rsidRDefault="00C3102E" w:rsidP="000E7835">
      <w:pPr>
        <w:pStyle w:val="ListParagraph"/>
        <w:rPr>
          <w:sz w:val="22"/>
          <w:szCs w:val="22"/>
        </w:rPr>
      </w:pPr>
    </w:p>
    <w:p w14:paraId="4A366B11" w14:textId="0738DC32" w:rsidR="00C3102E" w:rsidRPr="00B02392" w:rsidRDefault="00C3102E" w:rsidP="000E7835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B02392">
        <w:rPr>
          <w:sz w:val="22"/>
          <w:szCs w:val="22"/>
        </w:rPr>
        <w:t xml:space="preserve">Specifically, the bill, signed into law, prohibited the practice of lending upfront cash to </w:t>
      </w:r>
      <w:r w:rsidR="00853E2C" w:rsidRPr="00B02392">
        <w:rPr>
          <w:sz w:val="22"/>
          <w:szCs w:val="22"/>
        </w:rPr>
        <w:t>servicemembers and veterans in exchange for the servicemember or veteran signing away (assigning) rights to their pay or future benefits (e.g., pension).</w:t>
      </w:r>
    </w:p>
    <w:p w14:paraId="1FCFF00D" w14:textId="77777777" w:rsidR="00853E2C" w:rsidRPr="00B02392" w:rsidRDefault="00853E2C" w:rsidP="000E7835">
      <w:pPr>
        <w:pStyle w:val="ListParagraph"/>
        <w:rPr>
          <w:sz w:val="22"/>
          <w:szCs w:val="22"/>
        </w:rPr>
      </w:pPr>
    </w:p>
    <w:p w14:paraId="29C0136B" w14:textId="5533B679" w:rsidR="00853E2C" w:rsidRPr="00B02392" w:rsidRDefault="00853E2C" w:rsidP="000E7835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B02392">
        <w:rPr>
          <w:sz w:val="22"/>
          <w:szCs w:val="22"/>
        </w:rPr>
        <w:t xml:space="preserve">The bill provided for remedies for the </w:t>
      </w:r>
      <w:r w:rsidR="00775DA2" w:rsidRPr="00B02392">
        <w:rPr>
          <w:sz w:val="22"/>
          <w:szCs w:val="22"/>
        </w:rPr>
        <w:t>victimized servicemember or veteran to go to court and get attorney fees and costs.</w:t>
      </w:r>
    </w:p>
    <w:p w14:paraId="6E350144" w14:textId="77777777" w:rsidR="00FC4F2E" w:rsidRPr="00B02392" w:rsidRDefault="00FC4F2E" w:rsidP="00FC4F2E">
      <w:pPr>
        <w:spacing w:after="0" w:line="240" w:lineRule="auto"/>
        <w:rPr>
          <w:b/>
          <w:bCs/>
        </w:rPr>
      </w:pPr>
    </w:p>
    <w:p w14:paraId="596FFF1A" w14:textId="634B6289" w:rsidR="00EE3374" w:rsidRPr="00B02392" w:rsidRDefault="00EE3374" w:rsidP="000E7835">
      <w:pPr>
        <w:spacing w:after="0" w:line="240" w:lineRule="auto"/>
        <w:rPr>
          <w:b/>
          <w:bCs/>
        </w:rPr>
      </w:pPr>
      <w:r w:rsidRPr="00B02392">
        <w:rPr>
          <w:b/>
          <w:bCs/>
        </w:rPr>
        <w:t>The Problem</w:t>
      </w:r>
    </w:p>
    <w:p w14:paraId="1F4C2D41" w14:textId="3EFA33BA" w:rsidR="00775DA2" w:rsidRPr="00B02392" w:rsidRDefault="00775DA2" w:rsidP="000E7835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B02392">
        <w:rPr>
          <w:sz w:val="22"/>
          <w:szCs w:val="22"/>
        </w:rPr>
        <w:t xml:space="preserve">The intent of the remedies section was to provide </w:t>
      </w:r>
      <w:r w:rsidRPr="00B02392">
        <w:rPr>
          <w:b/>
          <w:bCs/>
          <w:sz w:val="22"/>
          <w:szCs w:val="22"/>
        </w:rPr>
        <w:t>BOTH</w:t>
      </w:r>
      <w:r w:rsidRPr="00B02392">
        <w:rPr>
          <w:sz w:val="22"/>
          <w:szCs w:val="22"/>
        </w:rPr>
        <w:t xml:space="preserve"> legal (monetary compensation) </w:t>
      </w:r>
      <w:r w:rsidRPr="00B02392">
        <w:rPr>
          <w:b/>
          <w:bCs/>
          <w:sz w:val="22"/>
          <w:szCs w:val="22"/>
        </w:rPr>
        <w:t xml:space="preserve">AND </w:t>
      </w:r>
      <w:r w:rsidRPr="00B02392">
        <w:rPr>
          <w:sz w:val="22"/>
          <w:szCs w:val="22"/>
        </w:rPr>
        <w:t xml:space="preserve">equitable relief (e.g., </w:t>
      </w:r>
      <w:r w:rsidR="001A4510" w:rsidRPr="00B02392">
        <w:rPr>
          <w:sz w:val="22"/>
          <w:szCs w:val="22"/>
        </w:rPr>
        <w:t>injunction, rescission of the contract)</w:t>
      </w:r>
    </w:p>
    <w:p w14:paraId="0E65061C" w14:textId="77777777" w:rsidR="00775DA2" w:rsidRPr="00B02392" w:rsidRDefault="00775DA2" w:rsidP="000E7835">
      <w:pPr>
        <w:pStyle w:val="ListParagraph"/>
        <w:rPr>
          <w:sz w:val="22"/>
          <w:szCs w:val="22"/>
        </w:rPr>
      </w:pPr>
    </w:p>
    <w:p w14:paraId="525972B2" w14:textId="569A3062" w:rsidR="00775DA2" w:rsidRPr="00B02392" w:rsidRDefault="001A4510" w:rsidP="000E7835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B02392">
        <w:rPr>
          <w:sz w:val="22"/>
          <w:szCs w:val="22"/>
        </w:rPr>
        <w:t xml:space="preserve">Somehow, the language of the final bill read </w:t>
      </w:r>
      <w:r w:rsidR="00DF2258" w:rsidRPr="00B02392">
        <w:rPr>
          <w:sz w:val="22"/>
          <w:szCs w:val="22"/>
        </w:rPr>
        <w:t xml:space="preserve">legal </w:t>
      </w:r>
      <w:r w:rsidR="00DF2258" w:rsidRPr="00B02392">
        <w:rPr>
          <w:b/>
          <w:bCs/>
          <w:sz w:val="22"/>
          <w:szCs w:val="22"/>
        </w:rPr>
        <w:t xml:space="preserve">OR </w:t>
      </w:r>
      <w:r w:rsidR="00DF2258" w:rsidRPr="00B02392">
        <w:rPr>
          <w:sz w:val="22"/>
          <w:szCs w:val="22"/>
        </w:rPr>
        <w:t>equitable relief.</w:t>
      </w:r>
    </w:p>
    <w:p w14:paraId="743EF1A5" w14:textId="77777777" w:rsidR="00DF2258" w:rsidRPr="00B02392" w:rsidRDefault="00DF2258" w:rsidP="000E7835">
      <w:pPr>
        <w:pStyle w:val="ListParagraph"/>
        <w:rPr>
          <w:sz w:val="22"/>
          <w:szCs w:val="22"/>
        </w:rPr>
      </w:pPr>
    </w:p>
    <w:p w14:paraId="52F686B2" w14:textId="7E06E262" w:rsidR="00DF2258" w:rsidRPr="00B02392" w:rsidRDefault="00DF2258" w:rsidP="000E7835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B02392">
        <w:rPr>
          <w:sz w:val="22"/>
          <w:szCs w:val="22"/>
        </w:rPr>
        <w:t xml:space="preserve">If victimized, a servicemember or veteran should not have to choose one or the other; they should be – and the intent of the original bill was they would be – </w:t>
      </w:r>
      <w:r w:rsidR="00B02392" w:rsidRPr="00B02392">
        <w:rPr>
          <w:sz w:val="22"/>
          <w:szCs w:val="22"/>
        </w:rPr>
        <w:t>entitled to BOTH legal and equitable remedies.</w:t>
      </w:r>
    </w:p>
    <w:p w14:paraId="6927D1AB" w14:textId="4035ED95" w:rsidR="00B02392" w:rsidRPr="00B02392" w:rsidRDefault="00B02392" w:rsidP="00B02392"/>
    <w:p w14:paraId="6FE83A3A" w14:textId="6E57973C" w:rsidR="00B02392" w:rsidRPr="000E7835" w:rsidRDefault="00B02392" w:rsidP="000E7835">
      <w:pPr>
        <w:spacing w:after="0" w:line="240" w:lineRule="auto"/>
        <w:rPr>
          <w:b/>
          <w:bCs/>
        </w:rPr>
      </w:pPr>
      <w:r w:rsidRPr="000E7835">
        <w:rPr>
          <w:b/>
          <w:bCs/>
        </w:rPr>
        <w:t>What the Bill Does</w:t>
      </w:r>
    </w:p>
    <w:p w14:paraId="3151BC14" w14:textId="57F78229" w:rsidR="00045FA5" w:rsidRPr="000E7835" w:rsidRDefault="00045FA5" w:rsidP="000E7835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 w:rsidRPr="000E7835">
        <w:rPr>
          <w:sz w:val="22"/>
          <w:szCs w:val="22"/>
        </w:rPr>
        <w:t>Changes the “or” to and “and”</w:t>
      </w:r>
    </w:p>
    <w:p w14:paraId="4D493297" w14:textId="1318C5F1" w:rsidR="000E7835" w:rsidRDefault="000E7835" w:rsidP="000E7835">
      <w:pPr>
        <w:rPr>
          <w:b/>
          <w:bCs/>
        </w:rPr>
      </w:pPr>
    </w:p>
    <w:p w14:paraId="12C25CE2" w14:textId="68DBB144" w:rsidR="00A50EC7" w:rsidRDefault="009C44B2" w:rsidP="00C0681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F63B3A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Supporters: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  <w:t>Legal Aid</w:t>
      </w:r>
    </w:p>
    <w:p w14:paraId="413B3833" w14:textId="6127BC6A" w:rsidR="00F63B3A" w:rsidRDefault="00F63B3A" w:rsidP="00C0681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F63B3A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Opponents: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  <w:t>None</w:t>
      </w:r>
    </w:p>
    <w:p w14:paraId="5CCD23A9" w14:textId="77777777" w:rsidR="009C44B2" w:rsidRDefault="009C44B2" w:rsidP="00C0681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sectPr w:rsidR="009C4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F619A" w14:textId="77777777" w:rsidR="00EE3374" w:rsidRDefault="00EE3374" w:rsidP="00EE3374">
      <w:pPr>
        <w:spacing w:after="0" w:line="240" w:lineRule="auto"/>
      </w:pPr>
      <w:r>
        <w:separator/>
      </w:r>
    </w:p>
  </w:endnote>
  <w:endnote w:type="continuationSeparator" w:id="0">
    <w:p w14:paraId="606EE9D7" w14:textId="77777777" w:rsidR="00EE3374" w:rsidRDefault="00EE3374" w:rsidP="00EE3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27B0C" w14:textId="77777777" w:rsidR="00EE3374" w:rsidRDefault="00EE3374" w:rsidP="00EE3374">
      <w:pPr>
        <w:spacing w:after="0" w:line="240" w:lineRule="auto"/>
      </w:pPr>
      <w:r>
        <w:separator/>
      </w:r>
    </w:p>
  </w:footnote>
  <w:footnote w:type="continuationSeparator" w:id="0">
    <w:p w14:paraId="15BCFBE1" w14:textId="77777777" w:rsidR="00EE3374" w:rsidRDefault="00EE3374" w:rsidP="00EE3374">
      <w:pPr>
        <w:spacing w:after="0" w:line="240" w:lineRule="auto"/>
      </w:pPr>
      <w:r>
        <w:continuationSeparator/>
      </w:r>
    </w:p>
  </w:footnote>
  <w:footnote w:id="1">
    <w:p w14:paraId="2F59E5A5" w14:textId="75A90845" w:rsidR="00883F3F" w:rsidRDefault="00883F3F">
      <w:pPr>
        <w:pStyle w:val="FootnoteText"/>
      </w:pPr>
      <w:r>
        <w:rPr>
          <w:rStyle w:val="FootnoteReference"/>
        </w:rPr>
        <w:footnoteRef/>
      </w:r>
      <w:r>
        <w:t xml:space="preserve"> The 2018 bill was authored by </w:t>
      </w:r>
      <w:r w:rsidR="00045FA5">
        <w:t>the same authors as HF 815 / SF 665:  Rep. Matt Bliss &amp; Sen. Bruce Anderson, respectively.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0E46"/>
    <w:multiLevelType w:val="hybridMultilevel"/>
    <w:tmpl w:val="AF549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C4E1B"/>
    <w:multiLevelType w:val="multilevel"/>
    <w:tmpl w:val="3796E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43609"/>
    <w:multiLevelType w:val="hybridMultilevel"/>
    <w:tmpl w:val="6912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E42CA"/>
    <w:multiLevelType w:val="hybridMultilevel"/>
    <w:tmpl w:val="E49E1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97E7A"/>
    <w:multiLevelType w:val="hybridMultilevel"/>
    <w:tmpl w:val="9BF8E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E1A8C"/>
    <w:multiLevelType w:val="hybridMultilevel"/>
    <w:tmpl w:val="5F4EC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B618F"/>
    <w:multiLevelType w:val="hybridMultilevel"/>
    <w:tmpl w:val="DE368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44B3A"/>
    <w:multiLevelType w:val="hybridMultilevel"/>
    <w:tmpl w:val="782A6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556522">
    <w:abstractNumId w:val="1"/>
  </w:num>
  <w:num w:numId="2" w16cid:durableId="389227848">
    <w:abstractNumId w:val="4"/>
  </w:num>
  <w:num w:numId="3" w16cid:durableId="1788308645">
    <w:abstractNumId w:val="0"/>
  </w:num>
  <w:num w:numId="4" w16cid:durableId="1341422415">
    <w:abstractNumId w:val="3"/>
  </w:num>
  <w:num w:numId="5" w16cid:durableId="582909053">
    <w:abstractNumId w:val="2"/>
  </w:num>
  <w:num w:numId="6" w16cid:durableId="1919245399">
    <w:abstractNumId w:val="5"/>
  </w:num>
  <w:num w:numId="7" w16cid:durableId="148864984">
    <w:abstractNumId w:val="6"/>
  </w:num>
  <w:num w:numId="8" w16cid:durableId="4741759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A2A"/>
    <w:rsid w:val="00045FA5"/>
    <w:rsid w:val="000E7835"/>
    <w:rsid w:val="001A4510"/>
    <w:rsid w:val="00296A2A"/>
    <w:rsid w:val="00395FD0"/>
    <w:rsid w:val="00775DA2"/>
    <w:rsid w:val="007F22AA"/>
    <w:rsid w:val="00853E2C"/>
    <w:rsid w:val="00883F3F"/>
    <w:rsid w:val="009C44B2"/>
    <w:rsid w:val="00A50EC7"/>
    <w:rsid w:val="00B02392"/>
    <w:rsid w:val="00BC0419"/>
    <w:rsid w:val="00C0681A"/>
    <w:rsid w:val="00C3102E"/>
    <w:rsid w:val="00DF2258"/>
    <w:rsid w:val="00EE3374"/>
    <w:rsid w:val="00F63B3A"/>
    <w:rsid w:val="00FC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5C9EE"/>
  <w15:chartTrackingRefBased/>
  <w15:docId w15:val="{5DD3D131-AB86-4F5D-AAB5-DE5598A0C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6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96A2A"/>
  </w:style>
  <w:style w:type="character" w:customStyle="1" w:styleId="eop">
    <w:name w:val="eop"/>
    <w:basedOn w:val="DefaultParagraphFont"/>
    <w:rsid w:val="00296A2A"/>
  </w:style>
  <w:style w:type="character" w:customStyle="1" w:styleId="advancedproofingissue">
    <w:name w:val="advancedproofingissue"/>
    <w:basedOn w:val="DefaultParagraphFont"/>
    <w:rsid w:val="00296A2A"/>
  </w:style>
  <w:style w:type="paragraph" w:styleId="FootnoteText">
    <w:name w:val="footnote text"/>
    <w:basedOn w:val="Normal"/>
    <w:link w:val="FootnoteTextChar"/>
    <w:uiPriority w:val="99"/>
    <w:semiHidden/>
    <w:unhideWhenUsed/>
    <w:rsid w:val="00EE3374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3374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3374"/>
    <w:rPr>
      <w:vertAlign w:val="superscript"/>
    </w:rPr>
  </w:style>
  <w:style w:type="paragraph" w:styleId="ListParagraph">
    <w:name w:val="List Paragraph"/>
    <w:basedOn w:val="Normal"/>
    <w:uiPriority w:val="34"/>
    <w:qFormat/>
    <w:rsid w:val="00EE3374"/>
    <w:pPr>
      <w:spacing w:after="0" w:line="240" w:lineRule="auto"/>
      <w:ind w:left="720"/>
      <w:contextualSpacing/>
    </w:pPr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1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8A9F6-1D2A-456E-BDD8-8A00346E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Elwood</dc:creator>
  <cp:keywords/>
  <dc:description/>
  <cp:lastModifiedBy>Elwood, Ron</cp:lastModifiedBy>
  <cp:revision>18</cp:revision>
  <dcterms:created xsi:type="dcterms:W3CDTF">2018-08-20T20:32:00Z</dcterms:created>
  <dcterms:modified xsi:type="dcterms:W3CDTF">2023-02-02T14:16:00Z</dcterms:modified>
</cp:coreProperties>
</file>