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pPr>
      <w:bookmarkStart w:id="0" w:name="_GoBack"/>
      <w:bookmarkEnd w:id="0"/>
    </w:p>
    <w:p w:rsidR="009A41A8" w:rsidRDefault="009A41A8">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tblLook w:val="0000" w:firstRow="0" w:lastRow="0" w:firstColumn="0" w:lastColumn="0" w:noHBand="0" w:noVBand="0"/>
      </w:tblPr>
      <w:tblGrid>
        <w:gridCol w:w="9090"/>
        <w:gridCol w:w="8190"/>
      </w:tblGrid>
      <w:tr w:rsidR="009A41A8" w:rsidTr="00DD5429">
        <w:tc>
          <w:tcPr>
            <w:tcW w:w="909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r w:rsidR="00321E1C">
              <w:rPr>
                <w:sz w:val="40"/>
              </w:rPr>
              <w:t>, 2</w:t>
            </w:r>
            <w:r w:rsidR="00321E1C" w:rsidRPr="00321E1C">
              <w:rPr>
                <w:sz w:val="40"/>
                <w:vertAlign w:val="superscript"/>
              </w:rPr>
              <w:t>nd</w:t>
            </w:r>
            <w:r w:rsidR="00321E1C">
              <w:rPr>
                <w:sz w:val="40"/>
              </w:rPr>
              <w:t xml:space="preserve"> Engrossment</w:t>
            </w:r>
          </w:p>
        </w:tc>
        <w:tc>
          <w:tcPr>
            <w:tcW w:w="8190" w:type="dxa"/>
          </w:tcPr>
          <w:p w:rsidR="009A41A8" w:rsidRDefault="00321E1C" w:rsidP="00321E1C">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bookmarkStart w:id="1" w:name="Text2"/>
            <w:r w:rsidR="0010789B">
              <w:rPr>
                <w:sz w:val="40"/>
              </w:rPr>
              <w:t>1</w:t>
            </w:r>
            <w:r>
              <w:rPr>
                <w:sz w:val="40"/>
              </w:rPr>
              <w:t>458, 1</w:t>
            </w:r>
            <w:r w:rsidRPr="00321E1C">
              <w:rPr>
                <w:sz w:val="40"/>
                <w:vertAlign w:val="superscript"/>
              </w:rPr>
              <w:t>st</w:t>
            </w:r>
            <w:r>
              <w:rPr>
                <w:sz w:val="40"/>
              </w:rPr>
              <w:t xml:space="preserve"> Unofficial Engrossment</w:t>
            </w:r>
            <w:bookmarkEnd w:id="1"/>
            <w:r>
              <w:rPr>
                <w:sz w:val="40"/>
              </w:rPr>
              <w:t xml:space="preserve"> </w:t>
            </w:r>
          </w:p>
        </w:tc>
      </w:tr>
      <w:tr w:rsidR="009A41A8" w:rsidTr="00DD5429">
        <w:tc>
          <w:tcPr>
            <w:tcW w:w="9090" w:type="dxa"/>
          </w:tcPr>
          <w:p w:rsidR="009A41A8" w:rsidRDefault="009A41A8" w:rsidP="00321E1C">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4847F6">
              <w:rPr>
                <w:sz w:val="48"/>
              </w:rPr>
              <w:t>3</w:t>
            </w:r>
            <w:r>
              <w:rPr>
                <w:sz w:val="48"/>
              </w:rPr>
              <w:t>,</w:t>
            </w:r>
            <w:r w:rsidR="004847F6">
              <w:rPr>
                <w:sz w:val="48"/>
              </w:rPr>
              <w:t xml:space="preserve"> Withdrawal Management Programs</w:t>
            </w:r>
            <w:r>
              <w:rPr>
                <w:sz w:val="48"/>
              </w:rPr>
              <w:t xml:space="preserve"> </w:t>
            </w:r>
            <w:r w:rsidR="00321E1C">
              <w:rPr>
                <w:sz w:val="48"/>
              </w:rPr>
              <w:t xml:space="preserve"> </w:t>
            </w:r>
          </w:p>
        </w:tc>
        <w:tc>
          <w:tcPr>
            <w:tcW w:w="8190" w:type="dxa"/>
          </w:tcPr>
          <w:p w:rsidR="009A41A8" w:rsidRDefault="009A41A8" w:rsidP="00321E1C">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21E1C">
              <w:rPr>
                <w:sz w:val="48"/>
              </w:rPr>
              <w:t>10</w:t>
            </w:r>
            <w:r>
              <w:rPr>
                <w:sz w:val="48"/>
              </w:rPr>
              <w:t xml:space="preserve">, </w:t>
            </w:r>
            <w:r w:rsidR="00321E1C">
              <w:rPr>
                <w:sz w:val="48"/>
              </w:rPr>
              <w:t>Withdrawal Management Programs</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DD5429">
      <w:pPr>
        <w:tabs>
          <w:tab w:val="left" w:pos="0"/>
          <w:tab w:val="left" w:pos="1980"/>
          <w:tab w:val="left" w:pos="2340"/>
          <w:tab w:val="left" w:pos="2700"/>
          <w:tab w:val="left" w:pos="3060"/>
        </w:tabs>
        <w:ind w:right="360"/>
        <w:jc w:val="center"/>
      </w:pPr>
      <w:bookmarkStart w:id="2" w:name="Text3"/>
      <w:r>
        <w:t>April 29, 2</w:t>
      </w:r>
      <w:bookmarkEnd w:id="2"/>
      <w:r>
        <w:t>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10789B">
        <w:trPr>
          <w:tblHead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4847F6">
            <w:pPr>
              <w:pStyle w:val="Heading1"/>
            </w:pPr>
            <w:r>
              <w:lastRenderedPageBreak/>
              <w:t xml:space="preserve">Article </w:t>
            </w:r>
            <w:r w:rsidR="004847F6">
              <w:t>3 Withdrawal Management Programs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pPr>
              <w:pStyle w:val="Sectionnumber"/>
              <w:numPr>
                <w:ilvl w:val="0"/>
                <w:numId w:val="0"/>
              </w:numP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321E1C">
            <w:pPr>
              <w:pStyle w:val="Sectionnumber"/>
              <w:numPr>
                <w:ilvl w:val="0"/>
                <w:numId w:val="0"/>
              </w:numPr>
              <w:jc w:val="center"/>
              <w:rPr>
                <w:bCs/>
              </w:rPr>
            </w:pPr>
            <w:r>
              <w:rPr>
                <w:bCs/>
              </w:rPr>
              <w:t xml:space="preserve">Article </w:t>
            </w:r>
            <w:r w:rsidR="00321E1C">
              <w:rPr>
                <w:bCs/>
              </w:rPr>
              <w:t>10. Withdrawal Management Programs</w:t>
            </w:r>
          </w:p>
        </w:tc>
      </w:tr>
      <w:tr w:rsidR="0010789B" w:rsidTr="0010789B">
        <w:tc>
          <w:tcPr>
            <w:tcW w:w="6210" w:type="dxa"/>
            <w:tcBorders>
              <w:top w:val="single" w:sz="4" w:space="0" w:color="auto"/>
              <w:left w:val="single" w:sz="4" w:space="0" w:color="auto"/>
              <w:bottom w:val="single" w:sz="4" w:space="0" w:color="auto"/>
              <w:right w:val="single" w:sz="4" w:space="0" w:color="auto"/>
            </w:tcBorders>
          </w:tcPr>
          <w:p w:rsidR="0010789B" w:rsidRDefault="00722F2B">
            <w:pPr>
              <w:pStyle w:val="Sectionnumber"/>
              <w:numPr>
                <w:ilvl w:val="0"/>
                <w:numId w:val="0"/>
              </w:numPr>
              <w:rPr>
                <w:bCs/>
              </w:rPr>
            </w:pPr>
            <w:r w:rsidRPr="00450378">
              <w:rPr>
                <w:bCs/>
                <w:lang w:val="en"/>
              </w:rPr>
              <w:t>Article 3</w:t>
            </w:r>
            <w:r w:rsidRPr="00450378">
              <w:rPr>
                <w:lang w:val="en"/>
              </w:rPr>
              <w:t xml:space="preserve"> </w:t>
            </w:r>
            <w:r w:rsidRPr="00722F2B">
              <w:rPr>
                <w:b w:val="0"/>
                <w:lang w:val="en"/>
              </w:rPr>
              <w:t>establishes a new model for detoxification programs, called Withdrawal Management. The article establishes the comprehensive program in a new chapter of law, Minnesota Statutes, chapter 245G, and the commissioner is required to develop a payment methodology for services provided under this chapter, and seek federal approval for the rate methodology, and obtain legislative approval before implementing the program.</w:t>
            </w:r>
            <w:r w:rsidRPr="00450378">
              <w:rPr>
                <w:lang w:val="en"/>
              </w:rPr>
              <w:t> </w:t>
            </w:r>
          </w:p>
        </w:tc>
        <w:tc>
          <w:tcPr>
            <w:tcW w:w="5760" w:type="dxa"/>
            <w:tcBorders>
              <w:top w:val="single" w:sz="4" w:space="0" w:color="auto"/>
              <w:left w:val="single" w:sz="4" w:space="0" w:color="auto"/>
              <w:bottom w:val="single" w:sz="4" w:space="0" w:color="auto"/>
              <w:right w:val="single" w:sz="4" w:space="0" w:color="auto"/>
            </w:tcBorders>
          </w:tcPr>
          <w:p w:rsidR="0010789B" w:rsidRDefault="00321E1C" w:rsidP="003101F5">
            <w:pPr>
              <w:pStyle w:val="Sectionnumber"/>
              <w:numPr>
                <w:ilvl w:val="0"/>
                <w:numId w:val="0"/>
              </w:numPr>
              <w:rPr>
                <w:b w:val="0"/>
              </w:rPr>
            </w:pPr>
            <w:r>
              <w:rPr>
                <w:b w:val="0"/>
              </w:rPr>
              <w:t xml:space="preserve">All sections are identical </w:t>
            </w:r>
            <w:r w:rsidR="009143A3">
              <w:rPr>
                <w:b w:val="0"/>
              </w:rPr>
              <w:t xml:space="preserve">(Senate sections 1, 3, 5, 6, 7, 9, 12, 13, 14, </w:t>
            </w:r>
            <w:r w:rsidR="003101F5">
              <w:rPr>
                <w:b w:val="0"/>
              </w:rPr>
              <w:t>1</w:t>
            </w:r>
            <w:r w:rsidR="009143A3">
              <w:rPr>
                <w:b w:val="0"/>
              </w:rPr>
              <w:t xml:space="preserve">6, 18, and 21) </w:t>
            </w:r>
            <w:r>
              <w:rPr>
                <w:b w:val="0"/>
              </w:rPr>
              <w:t>except as noted below.</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321E1C" w:rsidRPr="00450378" w:rsidRDefault="00321E1C">
            <w:pPr>
              <w:pStyle w:val="Sectionnumber"/>
              <w:numPr>
                <w:ilvl w:val="0"/>
                <w:numId w:val="0"/>
              </w:numPr>
              <w:rPr>
                <w:bCs/>
                <w:lang w:val="en"/>
              </w:rPr>
            </w:pPr>
          </w:p>
        </w:tc>
        <w:tc>
          <w:tcPr>
            <w:tcW w:w="5760" w:type="dxa"/>
            <w:tcBorders>
              <w:top w:val="single" w:sz="4" w:space="0" w:color="auto"/>
              <w:left w:val="single" w:sz="4" w:space="0" w:color="auto"/>
              <w:bottom w:val="single" w:sz="4" w:space="0" w:color="auto"/>
              <w:right w:val="single" w:sz="4" w:space="0" w:color="auto"/>
            </w:tcBorders>
          </w:tcPr>
          <w:p w:rsidR="00321E1C" w:rsidRDefault="00321E1C">
            <w:pPr>
              <w:pStyle w:val="Sectionnumber"/>
              <w:numPr>
                <w:ilvl w:val="0"/>
                <w:numId w:val="0"/>
              </w:numPr>
              <w:rPr>
                <w:b w:val="0"/>
              </w:rPr>
            </w:pPr>
            <w:r>
              <w:rPr>
                <w:b w:val="0"/>
              </w:rPr>
              <w:t>Senate includes a definition for “qualified medical professional.”  This definition makes for less awkward sentence structure through this article.</w:t>
            </w:r>
          </w:p>
          <w:p w:rsidR="00321E1C" w:rsidRDefault="00321E1C">
            <w:pPr>
              <w:pStyle w:val="Sectionnumber"/>
              <w:numPr>
                <w:ilvl w:val="0"/>
                <w:numId w:val="0"/>
              </w:numPr>
              <w:rPr>
                <w:b w:val="0"/>
              </w:rPr>
            </w:pPr>
            <w:r>
              <w:rPr>
                <w:b w:val="0"/>
              </w:rPr>
              <w:t>Staff recommends adoption of Senate sections 2, 12.</w:t>
            </w:r>
          </w:p>
        </w:tc>
        <w:tc>
          <w:tcPr>
            <w:tcW w:w="6102" w:type="dxa"/>
            <w:tcBorders>
              <w:top w:val="single" w:sz="4" w:space="0" w:color="auto"/>
              <w:left w:val="single" w:sz="4" w:space="0" w:color="auto"/>
              <w:bottom w:val="single" w:sz="4" w:space="0" w:color="auto"/>
              <w:right w:val="single" w:sz="4" w:space="0" w:color="auto"/>
            </w:tcBorders>
          </w:tcPr>
          <w:p w:rsidR="00321E1C" w:rsidRPr="00321E1C" w:rsidRDefault="00321E1C">
            <w:pPr>
              <w:pStyle w:val="Sectionnumber"/>
              <w:numPr>
                <w:ilvl w:val="0"/>
                <w:numId w:val="0"/>
              </w:numPr>
            </w:pPr>
            <w:r>
              <w:t>Sec. 2.  (245F.02) Definitions.</w:t>
            </w: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321E1C" w:rsidRPr="00450378" w:rsidRDefault="00321E1C">
            <w:pPr>
              <w:pStyle w:val="Sectionnumber"/>
              <w:numPr>
                <w:ilvl w:val="0"/>
                <w:numId w:val="0"/>
              </w:numPr>
              <w:rPr>
                <w:bCs/>
                <w:lang w:val="en"/>
              </w:rPr>
            </w:pPr>
          </w:p>
        </w:tc>
        <w:tc>
          <w:tcPr>
            <w:tcW w:w="5760" w:type="dxa"/>
            <w:tcBorders>
              <w:top w:val="single" w:sz="4" w:space="0" w:color="auto"/>
              <w:left w:val="single" w:sz="4" w:space="0" w:color="auto"/>
              <w:bottom w:val="single" w:sz="4" w:space="0" w:color="auto"/>
              <w:right w:val="single" w:sz="4" w:space="0" w:color="auto"/>
            </w:tcBorders>
          </w:tcPr>
          <w:p w:rsidR="00321E1C" w:rsidRDefault="00321E1C">
            <w:pPr>
              <w:pStyle w:val="Sectionnumber"/>
              <w:numPr>
                <w:ilvl w:val="0"/>
                <w:numId w:val="0"/>
              </w:numPr>
              <w:rPr>
                <w:b w:val="0"/>
              </w:rPr>
            </w:pPr>
            <w:r>
              <w:rPr>
                <w:b w:val="0"/>
              </w:rPr>
              <w:t>Senate cites specific parts to a licensing rule.  House cites the general licensing chapter in administrative rules.</w:t>
            </w:r>
          </w:p>
          <w:p w:rsidR="00321E1C" w:rsidRDefault="00321E1C">
            <w:pPr>
              <w:pStyle w:val="Sectionnumber"/>
              <w:numPr>
                <w:ilvl w:val="0"/>
                <w:numId w:val="0"/>
              </w:numPr>
              <w:rPr>
                <w:b w:val="0"/>
              </w:rPr>
            </w:pPr>
            <w:r>
              <w:rPr>
                <w:b w:val="0"/>
              </w:rPr>
              <w:t>Staff recommends adoption of Senate section 4.</w:t>
            </w:r>
          </w:p>
        </w:tc>
        <w:tc>
          <w:tcPr>
            <w:tcW w:w="6102" w:type="dxa"/>
            <w:tcBorders>
              <w:top w:val="single" w:sz="4" w:space="0" w:color="auto"/>
              <w:left w:val="single" w:sz="4" w:space="0" w:color="auto"/>
              <w:bottom w:val="single" w:sz="4" w:space="0" w:color="auto"/>
              <w:right w:val="single" w:sz="4" w:space="0" w:color="auto"/>
            </w:tcBorders>
          </w:tcPr>
          <w:p w:rsidR="00321E1C" w:rsidRPr="00321E1C" w:rsidRDefault="00321E1C">
            <w:pPr>
              <w:pStyle w:val="Sectionnumber"/>
              <w:numPr>
                <w:ilvl w:val="0"/>
                <w:numId w:val="0"/>
              </w:numPr>
            </w:pPr>
            <w:r>
              <w:t>Sec. 4.  (245F.04) Program licensure.</w:t>
            </w: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321E1C" w:rsidRPr="00450378" w:rsidRDefault="00321E1C">
            <w:pPr>
              <w:pStyle w:val="Sectionnumber"/>
              <w:numPr>
                <w:ilvl w:val="0"/>
                <w:numId w:val="0"/>
              </w:numPr>
              <w:rPr>
                <w:bCs/>
                <w:lang w:val="en"/>
              </w:rPr>
            </w:pPr>
          </w:p>
        </w:tc>
        <w:tc>
          <w:tcPr>
            <w:tcW w:w="5760" w:type="dxa"/>
            <w:tcBorders>
              <w:top w:val="single" w:sz="4" w:space="0" w:color="auto"/>
              <w:left w:val="single" w:sz="4" w:space="0" w:color="auto"/>
              <w:bottom w:val="single" w:sz="4" w:space="0" w:color="auto"/>
              <w:right w:val="single" w:sz="4" w:space="0" w:color="auto"/>
            </w:tcBorders>
          </w:tcPr>
          <w:p w:rsidR="00321E1C" w:rsidRDefault="00321E1C">
            <w:pPr>
              <w:pStyle w:val="Sectionnumber"/>
              <w:numPr>
                <w:ilvl w:val="0"/>
                <w:numId w:val="0"/>
              </w:numPr>
              <w:rPr>
                <w:b w:val="0"/>
              </w:rPr>
            </w:pPr>
            <w:r>
              <w:rPr>
                <w:b w:val="0"/>
              </w:rPr>
              <w:t>One technical difference.</w:t>
            </w:r>
          </w:p>
          <w:p w:rsidR="00321E1C" w:rsidRDefault="00321E1C">
            <w:pPr>
              <w:pStyle w:val="Sectionnumber"/>
              <w:numPr>
                <w:ilvl w:val="0"/>
                <w:numId w:val="0"/>
              </w:numPr>
              <w:rPr>
                <w:b w:val="0"/>
              </w:rPr>
            </w:pPr>
            <w:r>
              <w:rPr>
                <w:b w:val="0"/>
              </w:rPr>
              <w:t>Staff recommends adoption of House section 8.</w:t>
            </w:r>
          </w:p>
        </w:tc>
        <w:tc>
          <w:tcPr>
            <w:tcW w:w="6102" w:type="dxa"/>
            <w:tcBorders>
              <w:top w:val="single" w:sz="4" w:space="0" w:color="auto"/>
              <w:left w:val="single" w:sz="4" w:space="0" w:color="auto"/>
              <w:bottom w:val="single" w:sz="4" w:space="0" w:color="auto"/>
              <w:right w:val="single" w:sz="4" w:space="0" w:color="auto"/>
            </w:tcBorders>
          </w:tcPr>
          <w:p w:rsidR="00321E1C" w:rsidRPr="00321E1C" w:rsidRDefault="00321E1C">
            <w:pPr>
              <w:pStyle w:val="Sectionnumber"/>
              <w:numPr>
                <w:ilvl w:val="0"/>
                <w:numId w:val="0"/>
              </w:numPr>
            </w:pPr>
            <w:r>
              <w:t>Sec. 8.  (245F.08) Stabilization services.</w:t>
            </w: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DD5429" w:rsidRDefault="00DD5429" w:rsidP="00DD5429">
            <w:pPr>
              <w:pStyle w:val="Sectionnumber"/>
              <w:numPr>
                <w:ilvl w:val="0"/>
                <w:numId w:val="0"/>
              </w:numPr>
              <w:tabs>
                <w:tab w:val="left" w:pos="4058"/>
              </w:tabs>
              <w:rPr>
                <w:bCs/>
                <w:lang w:val="en"/>
              </w:rPr>
            </w:pPr>
            <w:r>
              <w:rPr>
                <w:bCs/>
                <w:lang w:val="en"/>
              </w:rPr>
              <w:tab/>
            </w:r>
          </w:p>
          <w:p w:rsidR="00321E1C" w:rsidRPr="00DD5429" w:rsidRDefault="00321E1C" w:rsidP="00DD5429">
            <w:pPr>
              <w:rPr>
                <w:lang w:val="en"/>
              </w:rPr>
            </w:pPr>
          </w:p>
        </w:tc>
        <w:tc>
          <w:tcPr>
            <w:tcW w:w="5760" w:type="dxa"/>
            <w:tcBorders>
              <w:top w:val="single" w:sz="4" w:space="0" w:color="auto"/>
              <w:left w:val="single" w:sz="4" w:space="0" w:color="auto"/>
              <w:bottom w:val="single" w:sz="4" w:space="0" w:color="auto"/>
              <w:right w:val="single" w:sz="4" w:space="0" w:color="auto"/>
            </w:tcBorders>
          </w:tcPr>
          <w:p w:rsidR="00321E1C" w:rsidRDefault="003101F5">
            <w:pPr>
              <w:pStyle w:val="Sectionnumber"/>
              <w:numPr>
                <w:ilvl w:val="0"/>
                <w:numId w:val="0"/>
              </w:numPr>
              <w:rPr>
                <w:b w:val="0"/>
              </w:rPr>
            </w:pPr>
            <w:r>
              <w:rPr>
                <w:b w:val="0"/>
              </w:rPr>
              <w:t xml:space="preserve">One minor difference.  </w:t>
            </w:r>
            <w:r w:rsidR="00321E1C">
              <w:rPr>
                <w:b w:val="0"/>
              </w:rPr>
              <w:t xml:space="preserve">Senate </w:t>
            </w:r>
            <w:r>
              <w:rPr>
                <w:b w:val="0"/>
              </w:rPr>
              <w:t>added language requiring</w:t>
            </w:r>
            <w:r w:rsidR="00321E1C">
              <w:rPr>
                <w:b w:val="0"/>
              </w:rPr>
              <w:t xml:space="preserve"> that patients receive a written copy of the facility’s grievance procedure.  </w:t>
            </w:r>
          </w:p>
        </w:tc>
        <w:tc>
          <w:tcPr>
            <w:tcW w:w="6102" w:type="dxa"/>
            <w:tcBorders>
              <w:top w:val="single" w:sz="4" w:space="0" w:color="auto"/>
              <w:left w:val="single" w:sz="4" w:space="0" w:color="auto"/>
              <w:bottom w:val="single" w:sz="4" w:space="0" w:color="auto"/>
              <w:right w:val="single" w:sz="4" w:space="0" w:color="auto"/>
            </w:tcBorders>
          </w:tcPr>
          <w:p w:rsidR="00321E1C" w:rsidRPr="00321E1C" w:rsidRDefault="00321E1C">
            <w:pPr>
              <w:pStyle w:val="Sectionnumber"/>
              <w:numPr>
                <w:ilvl w:val="0"/>
                <w:numId w:val="0"/>
              </w:numPr>
            </w:pPr>
            <w:r>
              <w:t>Sec. 10.  (245F.10) Patient rights and grievance procedures.</w:t>
            </w: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321E1C" w:rsidRPr="00450378" w:rsidRDefault="00321E1C">
            <w:pPr>
              <w:pStyle w:val="Sectionnumber"/>
              <w:numPr>
                <w:ilvl w:val="0"/>
                <w:numId w:val="0"/>
              </w:numPr>
              <w:rPr>
                <w:bCs/>
                <w:lang w:val="en"/>
              </w:rPr>
            </w:pPr>
          </w:p>
        </w:tc>
        <w:tc>
          <w:tcPr>
            <w:tcW w:w="5760" w:type="dxa"/>
            <w:tcBorders>
              <w:top w:val="single" w:sz="4" w:space="0" w:color="auto"/>
              <w:left w:val="single" w:sz="4" w:space="0" w:color="auto"/>
              <w:bottom w:val="single" w:sz="4" w:space="0" w:color="auto"/>
              <w:right w:val="single" w:sz="4" w:space="0" w:color="auto"/>
            </w:tcBorders>
          </w:tcPr>
          <w:p w:rsidR="00321E1C" w:rsidRDefault="00321E1C">
            <w:pPr>
              <w:pStyle w:val="Sectionnumber"/>
              <w:numPr>
                <w:ilvl w:val="0"/>
                <w:numId w:val="0"/>
              </w:numPr>
              <w:rPr>
                <w:b w:val="0"/>
              </w:rPr>
            </w:pPr>
            <w:r>
              <w:rPr>
                <w:b w:val="0"/>
              </w:rPr>
              <w:t>House has the correct cross reference to the subdivision in the licensing statute on managing patient property.</w:t>
            </w:r>
          </w:p>
          <w:p w:rsidR="00321E1C" w:rsidRDefault="00321E1C">
            <w:pPr>
              <w:pStyle w:val="Sectionnumber"/>
              <w:numPr>
                <w:ilvl w:val="0"/>
                <w:numId w:val="0"/>
              </w:numPr>
              <w:rPr>
                <w:b w:val="0"/>
              </w:rPr>
            </w:pPr>
            <w:r>
              <w:rPr>
                <w:b w:val="0"/>
              </w:rPr>
              <w:t>House language requires facility staff to destroy forfeited property (drugs, paraphernalia, drug containers) or to give the forfeited property to law enforcement.</w:t>
            </w:r>
          </w:p>
          <w:p w:rsidR="00321E1C" w:rsidRDefault="00321E1C">
            <w:pPr>
              <w:pStyle w:val="Sectionnumber"/>
              <w:numPr>
                <w:ilvl w:val="0"/>
                <w:numId w:val="0"/>
              </w:numPr>
              <w:rPr>
                <w:b w:val="0"/>
              </w:rPr>
            </w:pPr>
            <w:r>
              <w:rPr>
                <w:b w:val="0"/>
              </w:rPr>
              <w:t xml:space="preserve">Senate language requires facility staff to give property subject to forfeiture (drugs, paraphernalia, drug </w:t>
            </w:r>
            <w:r>
              <w:rPr>
                <w:b w:val="0"/>
              </w:rPr>
              <w:lastRenderedPageBreak/>
              <w:t>containers) to law enforcement, or if giving the property to law enforcement would violate federal regulations, then the property must be destroyed by facility staff.</w:t>
            </w:r>
          </w:p>
        </w:tc>
        <w:tc>
          <w:tcPr>
            <w:tcW w:w="6102" w:type="dxa"/>
            <w:tcBorders>
              <w:top w:val="single" w:sz="4" w:space="0" w:color="auto"/>
              <w:left w:val="single" w:sz="4" w:space="0" w:color="auto"/>
              <w:bottom w:val="single" w:sz="4" w:space="0" w:color="auto"/>
              <w:right w:val="single" w:sz="4" w:space="0" w:color="auto"/>
            </w:tcBorders>
          </w:tcPr>
          <w:p w:rsidR="00321E1C" w:rsidRDefault="00321E1C">
            <w:pPr>
              <w:pStyle w:val="Sectionnumber"/>
              <w:numPr>
                <w:ilvl w:val="0"/>
                <w:numId w:val="0"/>
              </w:numPr>
            </w:pPr>
            <w:r>
              <w:lastRenderedPageBreak/>
              <w:t>Sec. 11.  (245F.11)  Patient property management.</w:t>
            </w:r>
          </w:p>
        </w:tc>
      </w:tr>
      <w:tr w:rsidR="00E13B5D" w:rsidTr="0010789B">
        <w:tc>
          <w:tcPr>
            <w:tcW w:w="6210" w:type="dxa"/>
            <w:tcBorders>
              <w:top w:val="single" w:sz="4" w:space="0" w:color="auto"/>
              <w:left w:val="single" w:sz="4" w:space="0" w:color="auto"/>
              <w:bottom w:val="single" w:sz="4" w:space="0" w:color="auto"/>
              <w:right w:val="single" w:sz="4" w:space="0" w:color="auto"/>
            </w:tcBorders>
          </w:tcPr>
          <w:p w:rsidR="00E13B5D" w:rsidRDefault="00E13B5D" w:rsidP="00E13B5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E13B5D" w:rsidRDefault="003101F5">
            <w:pPr>
              <w:pStyle w:val="Sectionnumber"/>
              <w:numPr>
                <w:ilvl w:val="0"/>
                <w:numId w:val="0"/>
              </w:numPr>
              <w:rPr>
                <w:b w:val="0"/>
              </w:rPr>
            </w:pPr>
            <w:r>
              <w:rPr>
                <w:b w:val="0"/>
              </w:rPr>
              <w:t>Technical difference in subd. 5.  Staff recommends adoption of Senate section 15.</w:t>
            </w:r>
          </w:p>
        </w:tc>
        <w:tc>
          <w:tcPr>
            <w:tcW w:w="6102" w:type="dxa"/>
            <w:tcBorders>
              <w:top w:val="single" w:sz="4" w:space="0" w:color="auto"/>
              <w:left w:val="single" w:sz="4" w:space="0" w:color="auto"/>
              <w:bottom w:val="single" w:sz="4" w:space="0" w:color="auto"/>
              <w:right w:val="single" w:sz="4" w:space="0" w:color="auto"/>
            </w:tcBorders>
          </w:tcPr>
          <w:p w:rsidR="00E13B5D" w:rsidRPr="00E13B5D" w:rsidRDefault="00E13B5D" w:rsidP="003101F5">
            <w:pPr>
              <w:pStyle w:val="Sectionnumber"/>
              <w:numPr>
                <w:ilvl w:val="0"/>
                <w:numId w:val="0"/>
              </w:numPr>
              <w:rPr>
                <w:b w:val="0"/>
              </w:rPr>
            </w:pPr>
            <w:r>
              <w:t>Sec. 15 Staff qualifications.</w:t>
            </w:r>
            <w:r>
              <w:rPr>
                <w:b w:val="0"/>
              </w:rPr>
              <w:t xml:space="preserve">  </w:t>
            </w:r>
          </w:p>
        </w:tc>
      </w:tr>
      <w:tr w:rsidR="00321E1C" w:rsidTr="0010789B">
        <w:tc>
          <w:tcPr>
            <w:tcW w:w="6210" w:type="dxa"/>
            <w:tcBorders>
              <w:top w:val="single" w:sz="4" w:space="0" w:color="auto"/>
              <w:left w:val="single" w:sz="4" w:space="0" w:color="auto"/>
              <w:bottom w:val="single" w:sz="4" w:space="0" w:color="auto"/>
              <w:right w:val="single" w:sz="4" w:space="0" w:color="auto"/>
            </w:tcBorders>
          </w:tcPr>
          <w:p w:rsidR="00321E1C" w:rsidRPr="00E13B5D" w:rsidRDefault="00E13B5D" w:rsidP="00E13B5D">
            <w:pPr>
              <w:rPr>
                <w:szCs w:val="24"/>
              </w:rPr>
            </w:pPr>
            <w:r>
              <w:rPr>
                <w:b/>
                <w:bCs/>
                <w:lang w:val="en"/>
              </w:rPr>
              <w:t xml:space="preserve">Sec. 17 (245F.17) Personnel files.  </w:t>
            </w:r>
            <w:r>
              <w:rPr>
                <w:bCs/>
                <w:lang w:val="en"/>
              </w:rPr>
              <w:t>Re</w:t>
            </w:r>
            <w:r w:rsidRPr="00E13B5D">
              <w:rPr>
                <w:bCs/>
                <w:lang w:val="en"/>
              </w:rPr>
              <w:t>q</w:t>
            </w:r>
            <w:r w:rsidRPr="00D2462A">
              <w:rPr>
                <w:szCs w:val="24"/>
              </w:rPr>
              <w:t xml:space="preserve">uires a license holder to maintain a separate personnel file for each staff member.  Lists what the file must contain, which includes a completed application, documentation of current professional license or registration, orientation and subsequent training, statement of freedom of substance use problems, and annual job performance evaluation. </w:t>
            </w:r>
          </w:p>
        </w:tc>
        <w:tc>
          <w:tcPr>
            <w:tcW w:w="5760" w:type="dxa"/>
            <w:tcBorders>
              <w:top w:val="single" w:sz="4" w:space="0" w:color="auto"/>
              <w:left w:val="single" w:sz="4" w:space="0" w:color="auto"/>
              <w:bottom w:val="single" w:sz="4" w:space="0" w:color="auto"/>
              <w:right w:val="single" w:sz="4" w:space="0" w:color="auto"/>
            </w:tcBorders>
          </w:tcPr>
          <w:p w:rsidR="00321E1C" w:rsidRDefault="009143A3">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321E1C" w:rsidRPr="00E13B5D" w:rsidRDefault="00321E1C">
            <w:pPr>
              <w:pStyle w:val="Sectionnumber"/>
              <w:numPr>
                <w:ilvl w:val="0"/>
                <w:numId w:val="0"/>
              </w:numPr>
              <w:rPr>
                <w:b w:val="0"/>
              </w:rPr>
            </w:pPr>
          </w:p>
        </w:tc>
      </w:tr>
      <w:tr w:rsidR="009143A3" w:rsidTr="0010789B">
        <w:tc>
          <w:tcPr>
            <w:tcW w:w="6210" w:type="dxa"/>
            <w:tcBorders>
              <w:top w:val="single" w:sz="4" w:space="0" w:color="auto"/>
              <w:left w:val="single" w:sz="4" w:space="0" w:color="auto"/>
              <w:bottom w:val="single" w:sz="4" w:space="0" w:color="auto"/>
              <w:right w:val="single" w:sz="4" w:space="0" w:color="auto"/>
            </w:tcBorders>
          </w:tcPr>
          <w:p w:rsidR="009143A3" w:rsidRPr="00E13B5D" w:rsidRDefault="009143A3" w:rsidP="00E13B5D">
            <w:pPr>
              <w:rPr>
                <w:szCs w:val="24"/>
              </w:rPr>
            </w:pPr>
            <w:r w:rsidRPr="00E13B5D">
              <w:rPr>
                <w:b/>
                <w:bCs/>
                <w:lang w:val="en"/>
              </w:rPr>
              <w:t>Se</w:t>
            </w:r>
            <w:r w:rsidR="00E13B5D">
              <w:rPr>
                <w:b/>
                <w:bCs/>
                <w:lang w:val="en"/>
              </w:rPr>
              <w:t>c. 19 (245F.19)</w:t>
            </w:r>
            <w:r w:rsidR="00E13B5D">
              <w:rPr>
                <w:szCs w:val="24"/>
              </w:rPr>
              <w:t xml:space="preserve"> </w:t>
            </w:r>
            <w:r w:rsidR="00E13B5D">
              <w:rPr>
                <w:b/>
                <w:szCs w:val="24"/>
              </w:rPr>
              <w:t>Patient records.</w:t>
            </w:r>
            <w:r w:rsidR="00E13B5D">
              <w:rPr>
                <w:szCs w:val="24"/>
              </w:rPr>
              <w:t xml:space="preserve">  Re</w:t>
            </w:r>
            <w:r w:rsidR="00E13B5D" w:rsidRPr="00D2462A">
              <w:rPr>
                <w:szCs w:val="24"/>
              </w:rPr>
              <w:t xml:space="preserve">quires the license holder to maintain a file of current patient records on the program premises, and retain those records in accordance with the DHS licensing act, and lists what the records must include, which are the most recent assessment, stabilization plan, discharge summary, individual abuse prevention plan, referrals made, and monitoring and observations of the patient’s medical needs. </w:t>
            </w:r>
          </w:p>
        </w:tc>
        <w:tc>
          <w:tcPr>
            <w:tcW w:w="5760" w:type="dxa"/>
            <w:tcBorders>
              <w:top w:val="single" w:sz="4" w:space="0" w:color="auto"/>
              <w:left w:val="single" w:sz="4" w:space="0" w:color="auto"/>
              <w:bottom w:val="single" w:sz="4" w:space="0" w:color="auto"/>
              <w:right w:val="single" w:sz="4" w:space="0" w:color="auto"/>
            </w:tcBorders>
          </w:tcPr>
          <w:p w:rsidR="009143A3" w:rsidRDefault="009143A3">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9143A3" w:rsidRDefault="009143A3">
            <w:pPr>
              <w:pStyle w:val="Sectionnumber"/>
              <w:numPr>
                <w:ilvl w:val="0"/>
                <w:numId w:val="0"/>
              </w:numPr>
            </w:pPr>
          </w:p>
        </w:tc>
      </w:tr>
      <w:tr w:rsidR="009143A3" w:rsidTr="0010789B">
        <w:tc>
          <w:tcPr>
            <w:tcW w:w="6210" w:type="dxa"/>
            <w:tcBorders>
              <w:top w:val="single" w:sz="4" w:space="0" w:color="auto"/>
              <w:left w:val="single" w:sz="4" w:space="0" w:color="auto"/>
              <w:bottom w:val="single" w:sz="4" w:space="0" w:color="auto"/>
              <w:right w:val="single" w:sz="4" w:space="0" w:color="auto"/>
            </w:tcBorders>
          </w:tcPr>
          <w:p w:rsidR="009143A3" w:rsidRPr="00E13B5D" w:rsidRDefault="00E13B5D" w:rsidP="00E13B5D">
            <w:pPr>
              <w:rPr>
                <w:szCs w:val="24"/>
              </w:rPr>
            </w:pPr>
            <w:r>
              <w:rPr>
                <w:b/>
                <w:bCs/>
                <w:lang w:val="en"/>
              </w:rPr>
              <w:t xml:space="preserve">Sec. </w:t>
            </w:r>
            <w:r w:rsidR="009143A3" w:rsidRPr="00E13B5D">
              <w:rPr>
                <w:b/>
                <w:bCs/>
                <w:lang w:val="en"/>
              </w:rPr>
              <w:t>20 (24</w:t>
            </w:r>
            <w:r w:rsidRPr="00E13B5D">
              <w:rPr>
                <w:b/>
                <w:bCs/>
                <w:lang w:val="en"/>
              </w:rPr>
              <w:t>5F.20)</w:t>
            </w:r>
            <w:r>
              <w:rPr>
                <w:bCs/>
                <w:lang w:val="en"/>
              </w:rPr>
              <w:t xml:space="preserve"> </w:t>
            </w:r>
            <w:r>
              <w:rPr>
                <w:b/>
                <w:bCs/>
                <w:lang w:val="en"/>
              </w:rPr>
              <w:t>Data collection required.</w:t>
            </w:r>
            <w:r>
              <w:rPr>
                <w:bCs/>
                <w:lang w:val="en"/>
              </w:rPr>
              <w:t xml:space="preserve">  R</w:t>
            </w:r>
            <w:r w:rsidRPr="00D2462A">
              <w:rPr>
                <w:szCs w:val="24"/>
              </w:rPr>
              <w:t xml:space="preserve">equires the license holder to participate in the drug and alcohol abuse normative evaluation system (DAANES).  Staff submitting data must be trained by the license holder with the DAANES Web manual. </w:t>
            </w:r>
          </w:p>
        </w:tc>
        <w:tc>
          <w:tcPr>
            <w:tcW w:w="5760" w:type="dxa"/>
            <w:tcBorders>
              <w:top w:val="single" w:sz="4" w:space="0" w:color="auto"/>
              <w:left w:val="single" w:sz="4" w:space="0" w:color="auto"/>
              <w:bottom w:val="single" w:sz="4" w:space="0" w:color="auto"/>
              <w:right w:val="single" w:sz="4" w:space="0" w:color="auto"/>
            </w:tcBorders>
          </w:tcPr>
          <w:p w:rsidR="009143A3" w:rsidRDefault="009143A3">
            <w:pPr>
              <w:pStyle w:val="Sectionnumber"/>
              <w:numPr>
                <w:ilvl w:val="0"/>
                <w:numId w:val="0"/>
              </w:numPr>
              <w:rPr>
                <w:b w:val="0"/>
              </w:rPr>
            </w:pPr>
            <w:r>
              <w:rPr>
                <w:b w:val="0"/>
              </w:rPr>
              <w:t>Senate only section.</w:t>
            </w:r>
          </w:p>
        </w:tc>
        <w:tc>
          <w:tcPr>
            <w:tcW w:w="6102" w:type="dxa"/>
            <w:tcBorders>
              <w:top w:val="single" w:sz="4" w:space="0" w:color="auto"/>
              <w:left w:val="single" w:sz="4" w:space="0" w:color="auto"/>
              <w:bottom w:val="single" w:sz="4" w:space="0" w:color="auto"/>
              <w:right w:val="single" w:sz="4" w:space="0" w:color="auto"/>
            </w:tcBorders>
          </w:tcPr>
          <w:p w:rsidR="009143A3" w:rsidRDefault="009143A3">
            <w:pPr>
              <w:pStyle w:val="Sectionnumber"/>
              <w:numPr>
                <w:ilvl w:val="0"/>
                <w:numId w:val="0"/>
              </w:numPr>
            </w:pPr>
          </w:p>
        </w:tc>
      </w:tr>
    </w:tbl>
    <w:p w:rsidR="009A41A8" w:rsidRDefault="009A41A8">
      <w:pPr>
        <w:tabs>
          <w:tab w:val="left" w:pos="0"/>
          <w:tab w:val="left" w:pos="1980"/>
          <w:tab w:val="left" w:pos="2340"/>
          <w:tab w:val="left" w:pos="2700"/>
          <w:tab w:val="left" w:pos="3060"/>
        </w:tabs>
        <w:ind w:right="360"/>
      </w:pPr>
      <w:r>
        <w:t xml:space="preserve"> </w:t>
      </w:r>
    </w:p>
    <w:sectPr w:rsidR="009A41A8" w:rsidSect="0064548B">
      <w:headerReference w:type="default" r:id="rId7"/>
      <w:footerReference w:type="default" r:id="rId8"/>
      <w:footerReference w:type="first" r:id="rId9"/>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1B" w:rsidRDefault="00DF671B" w:rsidP="00DC332C">
      <w:pPr>
        <w:spacing w:after="0"/>
      </w:pPr>
      <w:r>
        <w:separator/>
      </w:r>
    </w:p>
  </w:endnote>
  <w:endnote w:type="continuationSeparator" w:id="0">
    <w:p w:rsidR="00DF671B" w:rsidRDefault="00DF671B"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429" w:rsidRDefault="00DD5429">
    <w:pPr>
      <w:pStyle w:val="Footer"/>
    </w:pPr>
    <w:r>
      <w:t xml:space="preserve">Last </w:t>
    </w:r>
    <w:r w:rsidR="003101F5">
      <w:t>saved:  May 1</w:t>
    </w:r>
    <w:r>
      <w:t>, 2015</w:t>
    </w:r>
  </w:p>
  <w:p w:rsidR="009A41A8" w:rsidRDefault="009A41A8">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1B" w:rsidRDefault="00DF671B" w:rsidP="00DC332C">
      <w:pPr>
        <w:spacing w:after="0"/>
      </w:pPr>
      <w:r>
        <w:separator/>
      </w:r>
    </w:p>
  </w:footnote>
  <w:footnote w:type="continuationSeparator" w:id="0">
    <w:p w:rsidR="00DF671B" w:rsidRDefault="00DF671B"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9A41A8" w:rsidP="00DD5429">
    <w:pPr>
      <w:pStyle w:val="Header"/>
      <w:tabs>
        <w:tab w:val="clear" w:pos="4320"/>
        <w:tab w:val="clear" w:pos="8640"/>
        <w:tab w:val="left" w:pos="17460"/>
        <w:tab w:val="right" w:pos="18720"/>
      </w:tabs>
      <w:spacing w:after="0"/>
      <w:rPr>
        <w:sz w:val="20"/>
      </w:rPr>
    </w:pPr>
    <w:r>
      <w:rPr>
        <w:sz w:val="20"/>
      </w:rPr>
      <w:t xml:space="preserve">Bill Summary Comparison of </w:t>
    </w:r>
    <w:r w:rsidR="0010789B">
      <w:rPr>
        <w:sz w:val="20"/>
      </w:rPr>
      <w:t>Senate</w:t>
    </w:r>
    <w:r w:rsidR="00D06182">
      <w:rPr>
        <w:sz w:val="20"/>
      </w:rPr>
      <w:t xml:space="preserve"> File 1458</w:t>
    </w:r>
    <w:r>
      <w:rPr>
        <w:sz w:val="20"/>
      </w:rPr>
      <w:t>/</w:t>
    </w:r>
    <w:r w:rsidR="0010789B">
      <w:rPr>
        <w:sz w:val="20"/>
      </w:rPr>
      <w:t>House</w:t>
    </w:r>
    <w:r>
      <w:rPr>
        <w:sz w:val="20"/>
      </w:rPr>
      <w:t xml:space="preserve"> File </w:t>
    </w:r>
    <w:r w:rsidR="00D06182">
      <w:rPr>
        <w:sz w:val="20"/>
        <w:highlight w:val="lightGray"/>
      </w:rPr>
      <w:t>1638</w:t>
    </w:r>
    <w:r w:rsidR="00DD5429">
      <w:rPr>
        <w:sz w:val="20"/>
      </w:rPr>
      <w:tab/>
      <w:t>April 29, 2015</w:t>
    </w:r>
  </w:p>
  <w:p w:rsidR="009A41A8" w:rsidRDefault="009A41A8">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423E3F">
      <w:rPr>
        <w:rStyle w:val="PageNumber"/>
        <w:noProof/>
        <w:sz w:val="20"/>
      </w:rPr>
      <w:t>2</w:t>
    </w:r>
    <w:r>
      <w:rPr>
        <w:rStyle w:val="PageNumber"/>
        <w:sz w:val="20"/>
      </w:rPr>
      <w:fldChar w:fldCharType="end"/>
    </w:r>
  </w:p>
  <w:p w:rsidR="009A41A8" w:rsidRDefault="009A41A8">
    <w:pPr>
      <w:pStyle w:val="Header"/>
      <w:tabs>
        <w:tab w:val="clear" w:pos="4320"/>
        <w:tab w:val="clear" w:pos="8640"/>
        <w:tab w:val="right" w:pos="18810"/>
      </w:tabs>
      <w:spacing w:after="0"/>
      <w:rPr>
        <w:rStyle w:val="PageNumber"/>
        <w:sz w:val="20"/>
      </w:rPr>
    </w:pPr>
  </w:p>
  <w:p w:rsidR="009A41A8" w:rsidRDefault="009A41A8">
    <w:pPr>
      <w:pStyle w:val="Header"/>
      <w:tabs>
        <w:tab w:val="clear" w:pos="4320"/>
        <w:tab w:val="clear" w:pos="8640"/>
        <w:tab w:val="left" w:pos="3600"/>
        <w:tab w:val="left" w:pos="15570"/>
        <w:tab w:val="right" w:pos="18810"/>
      </w:tabs>
      <w:rPr>
        <w:sz w:val="20"/>
      </w:rPr>
    </w:pPr>
    <w:r>
      <w:rPr>
        <w:rStyle w:val="PageNumber"/>
      </w:rPr>
      <w:tab/>
    </w:r>
    <w:r w:rsidR="0010789B">
      <w:rPr>
        <w:rStyle w:val="PageNumber"/>
      </w:rPr>
      <w:t>SENATE</w:t>
    </w:r>
    <w:r>
      <w:rPr>
        <w:rStyle w:val="PageNumber"/>
      </w:rPr>
      <w:tab/>
    </w:r>
    <w:r w:rsidR="0010789B">
      <w:rPr>
        <w:rStyle w:val="PageNumber"/>
      </w:rPr>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3">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0"/>
  </w:num>
  <w:num w:numId="7">
    <w:abstractNumId w:val="13"/>
  </w:num>
  <w:num w:numId="8">
    <w:abstractNumId w:val="6"/>
  </w:num>
  <w:num w:numId="9">
    <w:abstractNumId w:val="8"/>
  </w:num>
  <w:num w:numId="10">
    <w:abstractNumId w:val="3"/>
  </w:num>
  <w:num w:numId="11">
    <w:abstractNumId w:val="12"/>
  </w:num>
  <w:num w:numId="12">
    <w:abstractNumId w:val="11"/>
  </w:num>
  <w:num w:numId="13">
    <w:abstractNumId w:val="9"/>
  </w:num>
  <w:num w:numId="14">
    <w:abstractNumId w:val="1"/>
  </w:num>
  <w:num w:numId="15">
    <w:abstractNumId w:val="1"/>
    <w:lvlOverride w:ilvl="0">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8109C"/>
    <w:rsid w:val="0010789B"/>
    <w:rsid w:val="00306FC0"/>
    <w:rsid w:val="003101F5"/>
    <w:rsid w:val="00321E1C"/>
    <w:rsid w:val="003601FE"/>
    <w:rsid w:val="00423E3F"/>
    <w:rsid w:val="004847F6"/>
    <w:rsid w:val="00632D41"/>
    <w:rsid w:val="0064548B"/>
    <w:rsid w:val="00722F2B"/>
    <w:rsid w:val="00735907"/>
    <w:rsid w:val="00740DC5"/>
    <w:rsid w:val="009143A3"/>
    <w:rsid w:val="009A41A8"/>
    <w:rsid w:val="00A510E6"/>
    <w:rsid w:val="00B14609"/>
    <w:rsid w:val="00B60AB9"/>
    <w:rsid w:val="00BA1E5D"/>
    <w:rsid w:val="00D06182"/>
    <w:rsid w:val="00D91215"/>
    <w:rsid w:val="00DA56C7"/>
    <w:rsid w:val="00DC332C"/>
    <w:rsid w:val="00DD5429"/>
    <w:rsid w:val="00DF671B"/>
    <w:rsid w:val="00E13B5D"/>
    <w:rsid w:val="00F1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character" w:customStyle="1" w:styleId="FooterChar">
    <w:name w:val="Footer Char"/>
    <w:basedOn w:val="DefaultParagraphFont"/>
    <w:link w:val="Footer"/>
    <w:uiPriority w:val="99"/>
    <w:rsid w:val="00DD5429"/>
  </w:style>
  <w:style w:type="paragraph" w:styleId="BalloonText">
    <w:name w:val="Balloon Text"/>
    <w:basedOn w:val="Normal"/>
    <w:link w:val="BalloonTextChar"/>
    <w:uiPriority w:val="99"/>
    <w:semiHidden/>
    <w:unhideWhenUsed/>
    <w:rsid w:val="00DD54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3225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SKulzer</cp:lastModifiedBy>
  <cp:revision>2</cp:revision>
  <cp:lastPrinted>2015-04-30T19:39:00Z</cp:lastPrinted>
  <dcterms:created xsi:type="dcterms:W3CDTF">2015-05-01T17:38:00Z</dcterms:created>
  <dcterms:modified xsi:type="dcterms:W3CDTF">2015-05-01T17:38:00Z</dcterms:modified>
</cp:coreProperties>
</file>