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Elections Committee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Mike Freiberg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Wednesday, January 18, 2023 - 8:30 AM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Room 200, State Office Building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the Minutes - January 11, 2023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HF117 (Stephenson);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Political activities by foreign-influenced corporations prohibited, certification of compliance required, and candidates prohibited from accepting contributions.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HF451 (Stephenson);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Ordering of candidates for partisan offices on state general election ballot requirements modified.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HF205 (Bahner);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Prohibitions clarified on soliciting at or near a polling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Bills may be taken up in any order, added, removed at the Chair’s discretion.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