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02" w:rsidRPr="0035578A" w:rsidRDefault="00140902" w:rsidP="00140902">
      <w:pPr>
        <w:jc w:val="center"/>
        <w:rPr>
          <w:b/>
        </w:rPr>
      </w:pPr>
      <w:bookmarkStart w:id="0" w:name="_GoBack"/>
      <w:bookmarkEnd w:id="0"/>
      <w:r w:rsidRPr="0035578A">
        <w:rPr>
          <w:b/>
        </w:rPr>
        <w:t>Memorandum</w:t>
      </w:r>
    </w:p>
    <w:p w:rsidR="00140902" w:rsidRDefault="00140902" w:rsidP="00140902"/>
    <w:p w:rsidR="00140902" w:rsidRDefault="00140902" w:rsidP="00140902">
      <w:r>
        <w:t>To:</w:t>
      </w:r>
      <w:r w:rsidR="008D0530">
        <w:t xml:space="preserve">  The Honorable Senator Relph and Representative Zerwas</w:t>
      </w:r>
    </w:p>
    <w:p w:rsidR="00140902" w:rsidRDefault="00140902" w:rsidP="00140902">
      <w:r>
        <w:t>From:</w:t>
      </w:r>
      <w:r w:rsidR="008D0530">
        <w:t xml:space="preserve"> Employment and Economic Development </w:t>
      </w:r>
    </w:p>
    <w:p w:rsidR="00140902" w:rsidRDefault="00140902" w:rsidP="00140902">
      <w:r>
        <w:t>Date:</w:t>
      </w:r>
      <w:r w:rsidRPr="00140902">
        <w:t xml:space="preserve"> </w:t>
      </w:r>
      <w:r>
        <w:t>December 13, 2017</w:t>
      </w:r>
    </w:p>
    <w:p w:rsidR="00140902" w:rsidRDefault="00140902" w:rsidP="00140902">
      <w:r>
        <w:t>Re: Direct care workforce shortages</w:t>
      </w:r>
    </w:p>
    <w:p w:rsidR="00140902" w:rsidRDefault="00140902" w:rsidP="00140902"/>
    <w:p w:rsidR="00E011BC" w:rsidRDefault="00E011BC" w:rsidP="00140902">
      <w:r>
        <w:t xml:space="preserve">This memo provides the available labor market </w:t>
      </w:r>
      <w:r w:rsidR="00E03EEA">
        <w:t xml:space="preserve">information </w:t>
      </w:r>
      <w:r>
        <w:t xml:space="preserve">for the Personal Care Aide occupation in Minnesota. </w:t>
      </w:r>
    </w:p>
    <w:p w:rsidR="00E011BC" w:rsidRDefault="00E011BC" w:rsidP="00140902"/>
    <w:p w:rsidR="00E011BC" w:rsidRPr="00E011BC" w:rsidRDefault="00E011BC" w:rsidP="00140902">
      <w:pPr>
        <w:rPr>
          <w:b/>
        </w:rPr>
      </w:pPr>
      <w:r w:rsidRPr="00E011BC">
        <w:rPr>
          <w:b/>
        </w:rPr>
        <w:t>Labor Shortage Context</w:t>
      </w:r>
    </w:p>
    <w:p w:rsidR="00E011BC" w:rsidRDefault="00E011BC" w:rsidP="00140902"/>
    <w:p w:rsidR="00140902" w:rsidRDefault="00140902" w:rsidP="00140902">
      <w:r>
        <w:t xml:space="preserve">Steady job growth and slowing labor force growth are both contributing to a tight labor market in Minnesota.  Minnesota has </w:t>
      </w:r>
      <w:r w:rsidR="00B76AA8">
        <w:t xml:space="preserve">seen steady job growth since 2010, adding 332,900 jobs since the </w:t>
      </w:r>
      <w:r w:rsidR="00D94CFB">
        <w:t xml:space="preserve">post-recession </w:t>
      </w:r>
      <w:r w:rsidR="00841F59">
        <w:t>employment trough</w:t>
      </w:r>
      <w:r w:rsidR="00B76AA8">
        <w:t xml:space="preserve"> in </w:t>
      </w:r>
      <w:r w:rsidR="00841F59">
        <w:t xml:space="preserve">September </w:t>
      </w:r>
      <w:r w:rsidR="00B76AA8">
        <w:t>2009</w:t>
      </w:r>
      <w:r w:rsidR="00841F59">
        <w:t xml:space="preserve">.  At the same time </w:t>
      </w:r>
      <w:r w:rsidR="00841F59" w:rsidRPr="00841F59">
        <w:t>labor force growth has slowed since the 1990s</w:t>
      </w:r>
      <w:r w:rsidR="00841F59">
        <w:t xml:space="preserve"> as a result of the aging </w:t>
      </w:r>
      <w:r w:rsidR="00D94CFB">
        <w:t>b</w:t>
      </w:r>
      <w:r w:rsidR="00841F59">
        <w:t xml:space="preserve">aby </w:t>
      </w:r>
      <w:r w:rsidR="00D94CFB">
        <w:t>b</w:t>
      </w:r>
      <w:r w:rsidR="00841F59">
        <w:t>oom generation</w:t>
      </w:r>
      <w:r w:rsidR="00841F59" w:rsidRPr="00841F59">
        <w:t xml:space="preserve">.  </w:t>
      </w:r>
      <w:r w:rsidR="00841F59">
        <w:t>Minnesota’s</w:t>
      </w:r>
      <w:r w:rsidR="00841F59" w:rsidRPr="00841F59">
        <w:t xml:space="preserve"> labor force grew by only 81,000 people over the last 10 years compared to 413,100 people during the 1990s. </w:t>
      </w:r>
      <w:r w:rsidR="00E44D7D">
        <w:t>T</w:t>
      </w:r>
      <w:r w:rsidR="00413838">
        <w:t xml:space="preserve">he Northeast, Northwest and Southwest regions of Minnesota are already experiencing a declining working age population which </w:t>
      </w:r>
      <w:r w:rsidR="00E44D7D">
        <w:t>has</w:t>
      </w:r>
      <w:r w:rsidR="00413838">
        <w:t xml:space="preserve"> exacerbate</w:t>
      </w:r>
      <w:r w:rsidR="00E44D7D">
        <w:t>d</w:t>
      </w:r>
      <w:r w:rsidR="00413838">
        <w:t xml:space="preserve"> labor force shortages in those regions.  </w:t>
      </w:r>
      <w:r>
        <w:t>Minnesota’s unemployment rate of 3.3 percent in October is at a 17-year low.</w:t>
      </w:r>
    </w:p>
    <w:p w:rsidR="00E420BD" w:rsidRDefault="00E420BD" w:rsidP="00140902"/>
    <w:p w:rsidR="00E420BD" w:rsidRDefault="0006480A" w:rsidP="00140902">
      <w:r>
        <w:t xml:space="preserve">Slow labor force growth will likely constrain job growth in Minnesota over the next several decades.  The graph below shows that even at a conservative 4.3 percent projected job growth over the decade from 2014 to 2024, job growth will outpace labor force growth.  This will further drive down the unemployment rate.  </w:t>
      </w:r>
      <w:r w:rsidR="00D0759B">
        <w:t>It will also likely encourage both domestic and foreign immigration to the state as happened at the end of the 1990s.</w:t>
      </w:r>
    </w:p>
    <w:p w:rsidR="00E420BD" w:rsidRDefault="00E420BD" w:rsidP="00140902"/>
    <w:p w:rsidR="00E420BD" w:rsidRPr="00E011BC" w:rsidRDefault="00B60AAB" w:rsidP="00140902">
      <w:r w:rsidRPr="00E011BC">
        <w:rPr>
          <w:bCs/>
        </w:rPr>
        <w:t>Jobs and Labor Force Outlook</w:t>
      </w:r>
      <w:r w:rsidR="00DD7539">
        <w:rPr>
          <w:bCs/>
        </w:rPr>
        <w:t>,</w:t>
      </w:r>
      <w:r w:rsidRPr="00E011BC">
        <w:rPr>
          <w:bCs/>
        </w:rPr>
        <w:t xml:space="preserve"> 2014 to 2024</w:t>
      </w:r>
    </w:p>
    <w:p w:rsidR="00413838" w:rsidRDefault="00E420BD" w:rsidP="00140902">
      <w:r w:rsidRPr="00E420BD">
        <w:rPr>
          <w:noProof/>
        </w:rPr>
        <w:drawing>
          <wp:inline distT="0" distB="0" distL="0" distR="0" wp14:anchorId="0BE40838" wp14:editId="3A1279E5">
            <wp:extent cx="5254388" cy="2763672"/>
            <wp:effectExtent l="0" t="0" r="3810" b="17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3838" w:rsidRDefault="00B602FD" w:rsidP="00140902">
      <w:r>
        <w:lastRenderedPageBreak/>
        <w:t xml:space="preserve">Source: </w:t>
      </w:r>
      <w:hyperlink r:id="rId9" w:history="1">
        <w:r w:rsidRPr="00B602FD">
          <w:rPr>
            <w:rStyle w:val="Hyperlink"/>
          </w:rPr>
          <w:t>Minnesota Employment Outlook, 2014 to 2024</w:t>
        </w:r>
      </w:hyperlink>
    </w:p>
    <w:p w:rsidR="00140902" w:rsidRDefault="00F24A94" w:rsidP="00140902">
      <w:r>
        <w:t xml:space="preserve">Slowing labor force growth is already impacting employers’ ability to fill </w:t>
      </w:r>
      <w:r w:rsidR="00E07E86">
        <w:t>vacancies</w:t>
      </w:r>
      <w:r>
        <w:t xml:space="preserve">, especially at the low end of the wage scale.  This is particularly true in healthcare where job growth is being driven by the same demographics as labor force growth: As the baby boom generation ages, the demand for healthcare, and particularly home care services, </w:t>
      </w:r>
      <w:r w:rsidR="00965305">
        <w:t xml:space="preserve">is </w:t>
      </w:r>
      <w:r>
        <w:t>increas</w:t>
      </w:r>
      <w:r w:rsidR="00965305">
        <w:t>ing</w:t>
      </w:r>
      <w:r>
        <w:t>.</w:t>
      </w:r>
    </w:p>
    <w:p w:rsidR="00140902" w:rsidRDefault="00140902" w:rsidP="00140902">
      <w:r>
        <w:t xml:space="preserve"> </w:t>
      </w:r>
    </w:p>
    <w:p w:rsidR="00E011BC" w:rsidRPr="00E011BC" w:rsidRDefault="00E011BC" w:rsidP="00140902">
      <w:pPr>
        <w:rPr>
          <w:b/>
        </w:rPr>
      </w:pPr>
      <w:r w:rsidRPr="00E011BC">
        <w:rPr>
          <w:b/>
        </w:rPr>
        <w:t>Personal Care Aides and other direct care/service occupations</w:t>
      </w:r>
    </w:p>
    <w:p w:rsidR="00E011BC" w:rsidRDefault="00E011BC" w:rsidP="00140902"/>
    <w:p w:rsidR="00965305" w:rsidRDefault="00F24A94" w:rsidP="00140902">
      <w:r>
        <w:t>Projected growth in the</w:t>
      </w:r>
      <w:r w:rsidRPr="00F24A94">
        <w:t xml:space="preserve"> Home Health Care industry</w:t>
      </w:r>
      <w:r>
        <w:t>, at</w:t>
      </w:r>
      <w:r w:rsidRPr="00F24A94">
        <w:t xml:space="preserve"> 53.6</w:t>
      </w:r>
      <w:r>
        <w:t xml:space="preserve"> percent</w:t>
      </w:r>
      <w:r w:rsidRPr="00F24A94">
        <w:t xml:space="preserve"> </w:t>
      </w:r>
      <w:r>
        <w:t xml:space="preserve">between 2014 and 2024 </w:t>
      </w:r>
      <w:r w:rsidRPr="00F24A94">
        <w:t>compared to 7</w:t>
      </w:r>
      <w:r>
        <w:t xml:space="preserve"> percent</w:t>
      </w:r>
      <w:r w:rsidRPr="00F24A94">
        <w:t xml:space="preserve"> across all industries</w:t>
      </w:r>
      <w:r>
        <w:t>, ranks at the top of all industries</w:t>
      </w:r>
      <w:r w:rsidRPr="00F24A94">
        <w:t xml:space="preserve">.  </w:t>
      </w:r>
    </w:p>
    <w:p w:rsidR="00965305" w:rsidRPr="00E011BC" w:rsidRDefault="00965305" w:rsidP="00140902"/>
    <w:p w:rsidR="00E011BC" w:rsidRPr="00E011BC" w:rsidRDefault="00965305" w:rsidP="00140902">
      <w:r w:rsidRPr="00E011BC">
        <w:t xml:space="preserve">The same is true at the occupational level.  </w:t>
      </w:r>
      <w:r w:rsidR="00E011BC" w:rsidRPr="00E011BC">
        <w:t>Based on the most currently available labor market information:</w:t>
      </w:r>
    </w:p>
    <w:p w:rsidR="00E011BC" w:rsidRPr="00E011BC" w:rsidRDefault="00E011BC" w:rsidP="00140902"/>
    <w:p w:rsidR="00E011BC" w:rsidRDefault="007B32D3" w:rsidP="00E011B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011BC">
        <w:rPr>
          <w:rFonts w:ascii="Times New Roman" w:hAnsi="Times New Roman"/>
        </w:rPr>
        <w:t xml:space="preserve">The </w:t>
      </w:r>
      <w:r w:rsidR="00965305" w:rsidRPr="00E011BC">
        <w:rPr>
          <w:rFonts w:ascii="Times New Roman" w:hAnsi="Times New Roman"/>
        </w:rPr>
        <w:t xml:space="preserve">Personal Care Aide </w:t>
      </w:r>
      <w:r w:rsidR="00E011BC">
        <w:rPr>
          <w:rFonts w:ascii="Times New Roman" w:hAnsi="Times New Roman"/>
        </w:rPr>
        <w:t xml:space="preserve">(PCA) </w:t>
      </w:r>
      <w:r w:rsidR="00E011BC" w:rsidRPr="00E011BC">
        <w:rPr>
          <w:rFonts w:ascii="Times New Roman" w:hAnsi="Times New Roman"/>
        </w:rPr>
        <w:t xml:space="preserve">occupation </w:t>
      </w:r>
      <w:r w:rsidRPr="00E011BC">
        <w:rPr>
          <w:rFonts w:ascii="Times New Roman" w:hAnsi="Times New Roman"/>
        </w:rPr>
        <w:t>is projected</w:t>
      </w:r>
      <w:r w:rsidR="00965305" w:rsidRPr="00E011BC">
        <w:rPr>
          <w:rFonts w:ascii="Times New Roman" w:hAnsi="Times New Roman"/>
        </w:rPr>
        <w:t xml:space="preserve"> to </w:t>
      </w:r>
      <w:r w:rsidRPr="00E011BC">
        <w:rPr>
          <w:rFonts w:ascii="Times New Roman" w:hAnsi="Times New Roman"/>
          <w:b/>
        </w:rPr>
        <w:t>add the most jobs</w:t>
      </w:r>
      <w:r w:rsidR="00965305" w:rsidRPr="00E011BC">
        <w:rPr>
          <w:rFonts w:ascii="Times New Roman" w:hAnsi="Times New Roman"/>
        </w:rPr>
        <w:t xml:space="preserve"> out of all occupations between 2014 and 2024, </w:t>
      </w:r>
      <w:r w:rsidRPr="00E011BC">
        <w:rPr>
          <w:rFonts w:ascii="Times New Roman" w:hAnsi="Times New Roman"/>
        </w:rPr>
        <w:t>adding</w:t>
      </w:r>
      <w:r w:rsidR="00965305" w:rsidRPr="00E011BC">
        <w:rPr>
          <w:rFonts w:ascii="Times New Roman" w:hAnsi="Times New Roman"/>
        </w:rPr>
        <w:t xml:space="preserve"> </w:t>
      </w:r>
      <w:r w:rsidRPr="00E011BC">
        <w:rPr>
          <w:rFonts w:ascii="Times New Roman" w:hAnsi="Times New Roman"/>
        </w:rPr>
        <w:t>16</w:t>
      </w:r>
      <w:r w:rsidR="00965305" w:rsidRPr="00E011BC">
        <w:rPr>
          <w:rFonts w:ascii="Times New Roman" w:hAnsi="Times New Roman"/>
        </w:rPr>
        <w:t>,</w:t>
      </w:r>
      <w:r w:rsidRPr="00E011BC">
        <w:rPr>
          <w:rFonts w:ascii="Times New Roman" w:hAnsi="Times New Roman"/>
        </w:rPr>
        <w:t>500</w:t>
      </w:r>
      <w:r w:rsidR="00965305" w:rsidRPr="00E011BC">
        <w:rPr>
          <w:rFonts w:ascii="Times New Roman" w:hAnsi="Times New Roman"/>
        </w:rPr>
        <w:t xml:space="preserve"> jobs</w:t>
      </w:r>
      <w:r w:rsidRPr="00E011BC">
        <w:rPr>
          <w:rFonts w:ascii="Times New Roman" w:hAnsi="Times New Roman"/>
        </w:rPr>
        <w:t xml:space="preserve"> for a total of 21,700 projected openings over the period (including openings due to people leaving the field)</w:t>
      </w:r>
      <w:r w:rsidR="00965305" w:rsidRPr="00E011BC">
        <w:rPr>
          <w:rFonts w:ascii="Times New Roman" w:hAnsi="Times New Roman"/>
        </w:rPr>
        <w:t>.</w:t>
      </w:r>
      <w:r w:rsidR="00E011BC" w:rsidRPr="00E011BC">
        <w:rPr>
          <w:rFonts w:ascii="Times New Roman" w:hAnsi="Times New Roman"/>
        </w:rPr>
        <w:t xml:space="preserve">  </w:t>
      </w:r>
    </w:p>
    <w:p w:rsidR="00E011BC" w:rsidRPr="00E011BC" w:rsidRDefault="00E011BC" w:rsidP="00E011BC">
      <w:pPr>
        <w:pStyle w:val="ListParagraph"/>
        <w:rPr>
          <w:rFonts w:ascii="Times New Roman" w:hAnsi="Times New Roman"/>
        </w:rPr>
      </w:pPr>
    </w:p>
    <w:p w:rsidR="009B4677" w:rsidRDefault="00E011BC" w:rsidP="00E011B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226F8B" w:rsidRPr="00E011BC">
        <w:rPr>
          <w:rFonts w:ascii="Times New Roman" w:hAnsi="Times New Roman"/>
        </w:rPr>
        <w:t>PCA</w:t>
      </w:r>
      <w:r>
        <w:rPr>
          <w:rFonts w:ascii="Times New Roman" w:hAnsi="Times New Roman"/>
        </w:rPr>
        <w:t xml:space="preserve"> occupation</w:t>
      </w:r>
      <w:r w:rsidR="00226F8B" w:rsidRPr="00E011BC">
        <w:rPr>
          <w:rFonts w:ascii="Times New Roman" w:hAnsi="Times New Roman"/>
        </w:rPr>
        <w:t xml:space="preserve"> had the </w:t>
      </w:r>
      <w:r w:rsidR="00226F8B" w:rsidRPr="00E011BC">
        <w:rPr>
          <w:rFonts w:ascii="Times New Roman" w:hAnsi="Times New Roman"/>
          <w:b/>
          <w:bCs/>
        </w:rPr>
        <w:t>most job vacancies</w:t>
      </w:r>
      <w:r w:rsidR="00226F8B" w:rsidRPr="00E011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any occupation in Minnesota </w:t>
      </w:r>
      <w:r w:rsidR="00226F8B" w:rsidRPr="00E011BC">
        <w:rPr>
          <w:rFonts w:ascii="Times New Roman" w:hAnsi="Times New Roman"/>
        </w:rPr>
        <w:t>during second quarter 2017</w:t>
      </w:r>
      <w:r>
        <w:rPr>
          <w:rFonts w:ascii="Times New Roman" w:hAnsi="Times New Roman"/>
        </w:rPr>
        <w:t>, with</w:t>
      </w:r>
      <w:r w:rsidR="00226F8B" w:rsidRPr="00E011BC">
        <w:rPr>
          <w:rFonts w:ascii="Times New Roman" w:hAnsi="Times New Roman"/>
        </w:rPr>
        <w:t xml:space="preserve"> 6,600 openings</w:t>
      </w:r>
      <w:r>
        <w:rPr>
          <w:rFonts w:ascii="Times New Roman" w:hAnsi="Times New Roman"/>
        </w:rPr>
        <w:t>.</w:t>
      </w:r>
    </w:p>
    <w:p w:rsidR="00E011BC" w:rsidRPr="00E011BC" w:rsidRDefault="00E011BC" w:rsidP="00E011BC">
      <w:pPr>
        <w:pStyle w:val="ListParagraph"/>
        <w:rPr>
          <w:rFonts w:ascii="Times New Roman" w:hAnsi="Times New Roman"/>
        </w:rPr>
      </w:pPr>
    </w:p>
    <w:p w:rsidR="009B4677" w:rsidRDefault="00226F8B" w:rsidP="00E011B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011BC">
        <w:rPr>
          <w:rFonts w:ascii="Times New Roman" w:hAnsi="Times New Roman"/>
        </w:rPr>
        <w:t xml:space="preserve">PCA </w:t>
      </w:r>
      <w:r w:rsidRPr="00E011BC">
        <w:rPr>
          <w:rFonts w:ascii="Times New Roman" w:hAnsi="Times New Roman"/>
          <w:b/>
          <w:bCs/>
        </w:rPr>
        <w:t>vacancies increased the most</w:t>
      </w:r>
      <w:r w:rsidRPr="00E011BC">
        <w:rPr>
          <w:rFonts w:ascii="Times New Roman" w:hAnsi="Times New Roman"/>
        </w:rPr>
        <w:t xml:space="preserve"> </w:t>
      </w:r>
      <w:r w:rsidR="00E011BC">
        <w:rPr>
          <w:rFonts w:ascii="Times New Roman" w:hAnsi="Times New Roman"/>
        </w:rPr>
        <w:t xml:space="preserve">of any occupation in Minnesota </w:t>
      </w:r>
      <w:r w:rsidRPr="00E011BC">
        <w:rPr>
          <w:rFonts w:ascii="Times New Roman" w:hAnsi="Times New Roman"/>
        </w:rPr>
        <w:t>over the year</w:t>
      </w:r>
      <w:r w:rsidR="00E011BC">
        <w:rPr>
          <w:rFonts w:ascii="Times New Roman" w:hAnsi="Times New Roman"/>
        </w:rPr>
        <w:t>,</w:t>
      </w:r>
      <w:r w:rsidRPr="00E011BC">
        <w:rPr>
          <w:rFonts w:ascii="Times New Roman" w:hAnsi="Times New Roman"/>
        </w:rPr>
        <w:t xml:space="preserve"> by 3,300 openings</w:t>
      </w:r>
      <w:r w:rsidR="00E011BC">
        <w:rPr>
          <w:rFonts w:ascii="Times New Roman" w:hAnsi="Times New Roman"/>
        </w:rPr>
        <w:t>.</w:t>
      </w:r>
    </w:p>
    <w:p w:rsidR="00E011BC" w:rsidRPr="00E011BC" w:rsidRDefault="00E011BC" w:rsidP="00E011BC">
      <w:pPr>
        <w:pStyle w:val="ListParagraph"/>
        <w:rPr>
          <w:rFonts w:ascii="Times New Roman" w:hAnsi="Times New Roman"/>
        </w:rPr>
      </w:pPr>
    </w:p>
    <w:p w:rsidR="009B4677" w:rsidRPr="00E011BC" w:rsidRDefault="00226F8B" w:rsidP="00CB1312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011BC">
        <w:rPr>
          <w:rFonts w:ascii="Times New Roman" w:hAnsi="Times New Roman"/>
        </w:rPr>
        <w:t xml:space="preserve">Wage offers increased 5.1 percent over the year, ranking </w:t>
      </w:r>
      <w:r w:rsidR="00B602FD">
        <w:rPr>
          <w:rFonts w:ascii="Times New Roman" w:hAnsi="Times New Roman"/>
        </w:rPr>
        <w:t>in the middle (</w:t>
      </w:r>
      <w:r w:rsidRPr="00E011BC">
        <w:rPr>
          <w:rFonts w:ascii="Times New Roman" w:hAnsi="Times New Roman"/>
        </w:rPr>
        <w:t>207</w:t>
      </w:r>
      <w:r w:rsidRPr="00E011BC">
        <w:rPr>
          <w:rFonts w:ascii="Times New Roman" w:hAnsi="Times New Roman"/>
          <w:vertAlign w:val="superscript"/>
        </w:rPr>
        <w:t>th</w:t>
      </w:r>
      <w:r w:rsidRPr="00E011BC">
        <w:rPr>
          <w:rFonts w:ascii="Times New Roman" w:hAnsi="Times New Roman"/>
        </w:rPr>
        <w:t xml:space="preserve"> of 414</w:t>
      </w:r>
      <w:r w:rsidR="00B602FD">
        <w:rPr>
          <w:rFonts w:ascii="Times New Roman" w:hAnsi="Times New Roman"/>
        </w:rPr>
        <w:t>) of the</w:t>
      </w:r>
      <w:r w:rsidRPr="00E011BC">
        <w:rPr>
          <w:rFonts w:ascii="Times New Roman" w:hAnsi="Times New Roman"/>
        </w:rPr>
        <w:t xml:space="preserve"> occupations measured.  Wage increases were greater for other top demand jobs including maids/cleaners, food prep, cashiers, secretaries, food servers.</w:t>
      </w:r>
    </w:p>
    <w:p w:rsidR="00E011BC" w:rsidRPr="00E011BC" w:rsidRDefault="00E011BC" w:rsidP="00E011BC">
      <w:pPr>
        <w:pStyle w:val="ListParagraph"/>
        <w:rPr>
          <w:rFonts w:ascii="Times New Roman" w:hAnsi="Times New Roman"/>
        </w:rPr>
      </w:pPr>
    </w:p>
    <w:p w:rsidR="009B4677" w:rsidRDefault="00E011BC" w:rsidP="00E011B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Available labor market information </w:t>
      </w:r>
      <w:r w:rsidR="00226F8B" w:rsidRPr="00E011BC">
        <w:rPr>
          <w:rFonts w:ascii="Times New Roman" w:hAnsi="Times New Roman"/>
          <w:b/>
          <w:bCs/>
        </w:rPr>
        <w:t>does not capture all PCA jobs or openings</w:t>
      </w:r>
      <w:r w:rsidR="00226F8B" w:rsidRPr="00E011BC">
        <w:rPr>
          <w:rFonts w:ascii="Times New Roman" w:hAnsi="Times New Roman"/>
        </w:rPr>
        <w:t xml:space="preserve">.  Those hired </w:t>
      </w:r>
      <w:r>
        <w:rPr>
          <w:rFonts w:ascii="Times New Roman" w:hAnsi="Times New Roman"/>
        </w:rPr>
        <w:t xml:space="preserve">directly </w:t>
      </w:r>
      <w:r w:rsidR="007920E5">
        <w:rPr>
          <w:rFonts w:ascii="Times New Roman" w:hAnsi="Times New Roman"/>
        </w:rPr>
        <w:t xml:space="preserve">by individuals are </w:t>
      </w:r>
      <w:r w:rsidR="00226F8B" w:rsidRPr="00E011BC">
        <w:rPr>
          <w:rFonts w:ascii="Times New Roman" w:hAnsi="Times New Roman"/>
        </w:rPr>
        <w:t>not captured in our surveys.</w:t>
      </w:r>
    </w:p>
    <w:p w:rsidR="00B602FD" w:rsidRPr="00B602FD" w:rsidRDefault="00B602FD" w:rsidP="00B602FD">
      <w:pPr>
        <w:pStyle w:val="ListParagraph"/>
        <w:rPr>
          <w:rFonts w:ascii="Times New Roman" w:hAnsi="Times New Roman"/>
        </w:rPr>
      </w:pPr>
    </w:p>
    <w:p w:rsidR="00B602FD" w:rsidRPr="00E011BC" w:rsidRDefault="00B602FD" w:rsidP="00E011B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About 18 percent or 8,000 PCAs</w:t>
      </w:r>
      <w:r w:rsidR="00F148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are foreign born immigrants (American Community Survey, 2015).</w:t>
      </w:r>
      <w:r w:rsidR="0079381C">
        <w:rPr>
          <w:rFonts w:ascii="Times New Roman" w:hAnsi="Times New Roman"/>
        </w:rPr>
        <w:t xml:space="preserve">  Share minority is listed in table below.</w:t>
      </w:r>
    </w:p>
    <w:p w:rsidR="003051E5" w:rsidRDefault="00C719B5" w:rsidP="00140902">
      <w:r>
        <w:t xml:space="preserve">The following table provides the most current labor market information </w:t>
      </w:r>
      <w:r w:rsidR="007920E5">
        <w:t xml:space="preserve">available </w:t>
      </w:r>
      <w:r>
        <w:t>for critical direct care/support occupations in Minnesota.</w:t>
      </w:r>
    </w:p>
    <w:p w:rsidR="00E011BC" w:rsidRDefault="00E011BC" w:rsidP="00140902"/>
    <w:p w:rsidR="0079381C" w:rsidRDefault="0079381C">
      <w:pPr>
        <w:rPr>
          <w:bCs/>
        </w:rPr>
      </w:pPr>
      <w:r>
        <w:rPr>
          <w:bCs/>
        </w:rPr>
        <w:br w:type="page"/>
      </w:r>
    </w:p>
    <w:p w:rsidR="00E011BC" w:rsidRPr="00E011BC" w:rsidRDefault="00E011BC" w:rsidP="00140902">
      <w:r w:rsidRPr="00E011BC">
        <w:rPr>
          <w:bCs/>
        </w:rPr>
        <w:lastRenderedPageBreak/>
        <w:t xml:space="preserve">Direct Care/Support Occupations, </w:t>
      </w:r>
      <w:r w:rsidRPr="00E011BC">
        <w:t>Labor Market Information, Minnesota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0"/>
        <w:gridCol w:w="976"/>
        <w:gridCol w:w="1274"/>
        <w:gridCol w:w="1350"/>
        <w:gridCol w:w="1227"/>
        <w:gridCol w:w="1479"/>
        <w:gridCol w:w="1463"/>
        <w:gridCol w:w="951"/>
      </w:tblGrid>
      <w:tr w:rsidR="003051E5" w:rsidRPr="00C719B5" w:rsidTr="00616E1B">
        <w:trPr>
          <w:trHeight w:val="1045"/>
        </w:trPr>
        <w:tc>
          <w:tcPr>
            <w:tcW w:w="2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Occupation</w:t>
            </w:r>
          </w:p>
        </w:tc>
        <w:tc>
          <w:tcPr>
            <w:tcW w:w="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2017</w:t>
            </w:r>
          </w:p>
          <w:p w:rsidR="00C719B5" w:rsidRPr="00C719B5" w:rsidRDefault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Median Wage</w:t>
            </w:r>
          </w:p>
        </w:tc>
        <w:tc>
          <w:tcPr>
            <w:tcW w:w="12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 w:rsidP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Number Vacancies</w:t>
            </w:r>
            <w:r w:rsidR="003051E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,</w:t>
            </w: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 xml:space="preserve"> 2</w:t>
            </w:r>
            <w:r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nd</w:t>
            </w: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 xml:space="preserve">  Quarter 2017</w:t>
            </w:r>
          </w:p>
        </w:tc>
        <w:tc>
          <w:tcPr>
            <w:tcW w:w="13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Vacancy Rate</w:t>
            </w:r>
            <w:r w:rsidR="003051E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,</w:t>
            </w:r>
          </w:p>
          <w:p w:rsidR="00C719B5" w:rsidRPr="00C719B5" w:rsidRDefault="00C719B5" w:rsidP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nd</w:t>
            </w: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 xml:space="preserve"> Quarter 2017</w:t>
            </w:r>
          </w:p>
        </w:tc>
        <w:tc>
          <w:tcPr>
            <w:tcW w:w="1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Share Vacancies Part-time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3051E5" w:rsidP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 xml:space="preserve">Median </w:t>
            </w:r>
            <w:r w:rsidR="00C719B5"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Wage Offer</w:t>
            </w:r>
            <w:r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,</w:t>
            </w:r>
            <w:r w:rsidR="00C719B5"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 xml:space="preserve"> 2</w:t>
            </w:r>
            <w:r w:rsid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nd</w:t>
            </w:r>
            <w:r w:rsidR="00C719B5"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 xml:space="preserve"> Quarter 2017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Projected Openings 2014 to 2024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Share Minority</w:t>
            </w:r>
          </w:p>
        </w:tc>
      </w:tr>
      <w:tr w:rsidR="003051E5" w:rsidRPr="00C719B5" w:rsidTr="00616E1B">
        <w:trPr>
          <w:trHeight w:val="478"/>
        </w:trPr>
        <w:tc>
          <w:tcPr>
            <w:tcW w:w="2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Total, All Occupations</w:t>
            </w:r>
          </w:p>
        </w:tc>
        <w:tc>
          <w:tcPr>
            <w:tcW w:w="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$19.62</w:t>
            </w:r>
          </w:p>
        </w:tc>
        <w:tc>
          <w:tcPr>
            <w:tcW w:w="12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122,900</w:t>
            </w:r>
          </w:p>
        </w:tc>
        <w:tc>
          <w:tcPr>
            <w:tcW w:w="13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4.5%</w:t>
            </w:r>
          </w:p>
        </w:tc>
        <w:tc>
          <w:tcPr>
            <w:tcW w:w="1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44%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$14.39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860,360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12.5%</w:t>
            </w:r>
          </w:p>
        </w:tc>
      </w:tr>
      <w:tr w:rsidR="003A6B0E" w:rsidRPr="00C719B5" w:rsidTr="00531ADA">
        <w:trPr>
          <w:trHeight w:val="415"/>
        </w:trPr>
        <w:tc>
          <w:tcPr>
            <w:tcW w:w="2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6B0E" w:rsidRPr="00C719B5" w:rsidRDefault="003A6B0E" w:rsidP="00531ADA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Personal Care Aides</w:t>
            </w:r>
          </w:p>
        </w:tc>
        <w:tc>
          <w:tcPr>
            <w:tcW w:w="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6B0E" w:rsidRPr="00C719B5" w:rsidRDefault="003A6B0E" w:rsidP="00531ADA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$11.69</w:t>
            </w:r>
          </w:p>
        </w:tc>
        <w:tc>
          <w:tcPr>
            <w:tcW w:w="12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6B0E" w:rsidRPr="00C719B5" w:rsidRDefault="003A6B0E" w:rsidP="00531ADA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6,600</w:t>
            </w:r>
          </w:p>
        </w:tc>
        <w:tc>
          <w:tcPr>
            <w:tcW w:w="13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6B0E" w:rsidRPr="00C719B5" w:rsidRDefault="003A6B0E" w:rsidP="00531ADA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9.8%</w:t>
            </w:r>
          </w:p>
        </w:tc>
        <w:tc>
          <w:tcPr>
            <w:tcW w:w="1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6B0E" w:rsidRPr="00C719B5" w:rsidRDefault="003A6B0E" w:rsidP="00531ADA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72%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6B0E" w:rsidRPr="00C719B5" w:rsidRDefault="003A6B0E" w:rsidP="00531ADA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$11.53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6B0E" w:rsidRPr="00C719B5" w:rsidRDefault="003A6B0E" w:rsidP="00531ADA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21,700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6B0E" w:rsidRPr="00C719B5" w:rsidRDefault="003A6B0E" w:rsidP="00531ADA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24.8%</w:t>
            </w:r>
          </w:p>
        </w:tc>
      </w:tr>
      <w:tr w:rsidR="003051E5" w:rsidRPr="00C719B5" w:rsidTr="00616E1B">
        <w:trPr>
          <w:trHeight w:val="415"/>
        </w:trPr>
        <w:tc>
          <w:tcPr>
            <w:tcW w:w="2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Home Health Aides</w:t>
            </w:r>
          </w:p>
        </w:tc>
        <w:tc>
          <w:tcPr>
            <w:tcW w:w="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$12.79</w:t>
            </w:r>
          </w:p>
        </w:tc>
        <w:tc>
          <w:tcPr>
            <w:tcW w:w="12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914</w:t>
            </w:r>
          </w:p>
        </w:tc>
        <w:tc>
          <w:tcPr>
            <w:tcW w:w="13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3.6%</w:t>
            </w:r>
          </w:p>
        </w:tc>
        <w:tc>
          <w:tcPr>
            <w:tcW w:w="1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62%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$12.36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16,190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23.2%</w:t>
            </w:r>
          </w:p>
        </w:tc>
      </w:tr>
      <w:tr w:rsidR="003051E5" w:rsidRPr="00C719B5" w:rsidTr="00616E1B">
        <w:trPr>
          <w:trHeight w:val="406"/>
        </w:trPr>
        <w:tc>
          <w:tcPr>
            <w:tcW w:w="20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Nursing Assistants</w:t>
            </w:r>
          </w:p>
        </w:tc>
        <w:tc>
          <w:tcPr>
            <w:tcW w:w="9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$14.77</w:t>
            </w:r>
          </w:p>
        </w:tc>
        <w:tc>
          <w:tcPr>
            <w:tcW w:w="12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2,543</w:t>
            </w:r>
          </w:p>
        </w:tc>
        <w:tc>
          <w:tcPr>
            <w:tcW w:w="13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8.2%</w:t>
            </w:r>
          </w:p>
        </w:tc>
        <w:tc>
          <w:tcPr>
            <w:tcW w:w="1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57%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$13.67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9,180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19B5" w:rsidRPr="00C719B5" w:rsidRDefault="00C719B5">
            <w:pPr>
              <w:pStyle w:val="NormalWeb"/>
              <w:spacing w:before="0" w:beforeAutospacing="0" w:after="0" w:afterAutospacing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C719B5">
              <w:rPr>
                <w:rFonts w:ascii="Calibri" w:hAnsi="Calibri" w:cs="Arial"/>
                <w:color w:val="000000"/>
                <w:kern w:val="24"/>
                <w:sz w:val="22"/>
                <w:szCs w:val="22"/>
              </w:rPr>
              <w:t>23.2%</w:t>
            </w:r>
          </w:p>
        </w:tc>
      </w:tr>
    </w:tbl>
    <w:p w:rsidR="008E6C96" w:rsidRDefault="00B602FD" w:rsidP="00140902">
      <w:r>
        <w:t xml:space="preserve">Source: </w:t>
      </w:r>
      <w:hyperlink r:id="rId10" w:history="1">
        <w:r w:rsidRPr="00B602FD">
          <w:rPr>
            <w:rStyle w:val="Hyperlink"/>
          </w:rPr>
          <w:t>Occupational Employment Statistics</w:t>
        </w:r>
      </w:hyperlink>
      <w:r>
        <w:t xml:space="preserve">, </w:t>
      </w:r>
      <w:hyperlink r:id="rId11" w:history="1">
        <w:r w:rsidRPr="00B602FD">
          <w:rPr>
            <w:rStyle w:val="Hyperlink"/>
          </w:rPr>
          <w:t>Minnesota Job Vacancy Survey</w:t>
        </w:r>
      </w:hyperlink>
      <w:r>
        <w:t xml:space="preserve"> and </w:t>
      </w:r>
      <w:r w:rsidRPr="00B602FD">
        <w:t>American Community Survey</w:t>
      </w:r>
      <w:r>
        <w:t xml:space="preserve"> data for </w:t>
      </w:r>
      <w:hyperlink r:id="rId12" w:history="1">
        <w:r w:rsidRPr="00B602FD">
          <w:rPr>
            <w:rStyle w:val="Hyperlink"/>
          </w:rPr>
          <w:t>Affirmative Action Statistics</w:t>
        </w:r>
      </w:hyperlink>
      <w:r>
        <w:t>.</w:t>
      </w:r>
    </w:p>
    <w:p w:rsidR="00B602FD" w:rsidRDefault="00B602FD" w:rsidP="00140902"/>
    <w:p w:rsidR="007920E5" w:rsidRDefault="007920E5" w:rsidP="00140902">
      <w:r w:rsidRPr="007920E5">
        <w:t xml:space="preserve">There are several </w:t>
      </w:r>
      <w:r w:rsidR="00726E28">
        <w:t>aspects of PCA jobs</w:t>
      </w:r>
      <w:r w:rsidRPr="007920E5">
        <w:t xml:space="preserve"> that create barriers </w:t>
      </w:r>
      <w:r w:rsidR="007D7EA5">
        <w:t>to</w:t>
      </w:r>
      <w:r w:rsidRPr="007920E5">
        <w:t xml:space="preserve"> people working in and staying in </w:t>
      </w:r>
      <w:r w:rsidR="000B4D99">
        <w:t xml:space="preserve">the </w:t>
      </w:r>
      <w:r w:rsidRPr="007920E5">
        <w:t>field.</w:t>
      </w:r>
    </w:p>
    <w:p w:rsidR="007920E5" w:rsidRDefault="007920E5" w:rsidP="00140902"/>
    <w:p w:rsidR="007920E5" w:rsidRPr="00726E28" w:rsidRDefault="007920E5" w:rsidP="0030071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26E28">
        <w:rPr>
          <w:rFonts w:ascii="Times New Roman" w:hAnsi="Times New Roman"/>
        </w:rPr>
        <w:t>The majority of PCA positions are poste</w:t>
      </w:r>
      <w:r w:rsidR="007D7EA5" w:rsidRPr="00726E28">
        <w:rPr>
          <w:rFonts w:ascii="Times New Roman" w:hAnsi="Times New Roman"/>
        </w:rPr>
        <w:t>d</w:t>
      </w:r>
      <w:r w:rsidRPr="00726E28">
        <w:rPr>
          <w:rFonts w:ascii="Times New Roman" w:hAnsi="Times New Roman"/>
        </w:rPr>
        <w:t xml:space="preserve"> as part-time.</w:t>
      </w:r>
    </w:p>
    <w:p w:rsidR="007920E5" w:rsidRPr="00726E28" w:rsidRDefault="007920E5" w:rsidP="007C0CBA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26E28">
        <w:rPr>
          <w:rFonts w:ascii="Times New Roman" w:hAnsi="Times New Roman"/>
        </w:rPr>
        <w:t>The median wage is well below the cost of living wage (see table below).</w:t>
      </w:r>
    </w:p>
    <w:p w:rsidR="007920E5" w:rsidRPr="00726E28" w:rsidRDefault="007920E5" w:rsidP="00FC0779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26E28">
        <w:rPr>
          <w:rFonts w:ascii="Times New Roman" w:hAnsi="Times New Roman"/>
        </w:rPr>
        <w:t>Many PCA positions require a working vehicle, especially in Greater Minnesota.</w:t>
      </w:r>
    </w:p>
    <w:p w:rsidR="007920E5" w:rsidRDefault="007920E5" w:rsidP="007920E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7920E5">
        <w:rPr>
          <w:rFonts w:ascii="Times New Roman" w:hAnsi="Times New Roman"/>
        </w:rPr>
        <w:t>Very few PCA position</w:t>
      </w:r>
      <w:r>
        <w:rPr>
          <w:rFonts w:ascii="Times New Roman" w:hAnsi="Times New Roman"/>
        </w:rPr>
        <w:t>s</w:t>
      </w:r>
      <w:r w:rsidR="00B602FD">
        <w:rPr>
          <w:rFonts w:ascii="Times New Roman" w:hAnsi="Times New Roman"/>
        </w:rPr>
        <w:t>, including full time positions,</w:t>
      </w:r>
      <w:r w:rsidRPr="007920E5">
        <w:rPr>
          <w:rFonts w:ascii="Times New Roman" w:hAnsi="Times New Roman"/>
        </w:rPr>
        <w:t xml:space="preserve"> offer health insurance.</w:t>
      </w:r>
    </w:p>
    <w:p w:rsidR="00B602FD" w:rsidRDefault="00B602FD" w:rsidP="007D7EA5">
      <w:pPr>
        <w:pStyle w:val="ListParagraph"/>
        <w:rPr>
          <w:rFonts w:ascii="Times New Roman" w:hAnsi="Times New Roman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258767</wp:posOffset>
                </wp:positionH>
                <wp:positionV relativeFrom="paragraph">
                  <wp:posOffset>121759</wp:posOffset>
                </wp:positionV>
                <wp:extent cx="3390900" cy="1166495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194" w:rsidRDefault="00443194" w:rsidP="00443194">
                            <w:r w:rsidRPr="007D7EA5">
                              <w:t>Cost of Living in Minnesota</w:t>
                            </w:r>
                            <w:r>
                              <w:t>, 2017</w:t>
                            </w:r>
                          </w:p>
                          <w:p w:rsidR="00443194" w:rsidRDefault="00443194" w:rsidP="00443194"/>
                          <w:p w:rsidR="00443194" w:rsidRPr="007D7EA5" w:rsidRDefault="00443194" w:rsidP="00443194">
                            <w:pPr>
                              <w:rPr>
                                <w:rFonts w:eastAsia="Cambria"/>
                              </w:rPr>
                            </w:pPr>
                            <w:r w:rsidRPr="007D7EA5">
                              <w:rPr>
                                <w:rFonts w:eastAsia="Cambria"/>
                              </w:rPr>
                              <w:t>Single no children: $14.35</w:t>
                            </w:r>
                          </w:p>
                          <w:p w:rsidR="00443194" w:rsidRPr="007D7EA5" w:rsidRDefault="00443194" w:rsidP="00443194">
                            <w:pPr>
                              <w:rPr>
                                <w:rFonts w:eastAsia="Cambria"/>
                              </w:rPr>
                            </w:pPr>
                            <w:r w:rsidRPr="007D7EA5">
                              <w:rPr>
                                <w:rFonts w:eastAsia="Cambria"/>
                              </w:rPr>
                              <w:t>Single, one child: $25.64 per hour</w:t>
                            </w:r>
                          </w:p>
                          <w:p w:rsidR="00443194" w:rsidRPr="007D7EA5" w:rsidRDefault="00443194" w:rsidP="00443194">
                            <w:pPr>
                              <w:rPr>
                                <w:rFonts w:eastAsia="Cambria"/>
                              </w:rPr>
                            </w:pPr>
                            <w:r w:rsidRPr="007D7EA5">
                              <w:rPr>
                                <w:rFonts w:eastAsia="Cambria"/>
                              </w:rPr>
                              <w:t xml:space="preserve">Partnered 1 full time, 1 part time, 1 child: $17.69 </w:t>
                            </w:r>
                          </w:p>
                          <w:p w:rsidR="00443194" w:rsidRPr="007D7EA5" w:rsidRDefault="00443194" w:rsidP="00443194">
                            <w:pPr>
                              <w:rPr>
                                <w:rFonts w:eastAsia="Cambria"/>
                              </w:rPr>
                            </w:pPr>
                            <w:r w:rsidRPr="007D7EA5">
                              <w:rPr>
                                <w:rFonts w:eastAsia="Cambria"/>
                              </w:rPr>
                              <w:t>Partnered 2 full time, 2 children: $19.59</w:t>
                            </w:r>
                          </w:p>
                          <w:p w:rsidR="00443194" w:rsidRDefault="004431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4pt;margin-top:9.6pt;width:267pt;height:9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">
                <v:textbox>
                  <w:txbxContent>
                    <w:p w:rsidR="00443194" w:rsidRDefault="00443194" w:rsidP="00443194">
                      <w:r w:rsidRPr="007D7EA5">
                        <w:t>Cost of Living in Minnesota</w:t>
                      </w:r>
                      <w:r>
                        <w:t>, 2017</w:t>
                      </w:r>
                    </w:p>
                    <w:p w:rsidR="00443194" w:rsidRDefault="00443194" w:rsidP="00443194"/>
                    <w:p w:rsidR="00443194" w:rsidRPr="007D7EA5" w:rsidRDefault="00443194" w:rsidP="00443194">
                      <w:pPr>
                        <w:rPr>
                          <w:rFonts w:eastAsia="Cambria"/>
                        </w:rPr>
                      </w:pPr>
                      <w:r w:rsidRPr="007D7EA5">
                        <w:rPr>
                          <w:rFonts w:eastAsia="Cambria"/>
                        </w:rPr>
                        <w:t>Single no children: $14.35</w:t>
                      </w:r>
                    </w:p>
                    <w:p w:rsidR="00443194" w:rsidRPr="007D7EA5" w:rsidRDefault="00443194" w:rsidP="00443194">
                      <w:pPr>
                        <w:rPr>
                          <w:rFonts w:eastAsia="Cambria"/>
                        </w:rPr>
                      </w:pPr>
                      <w:r w:rsidRPr="007D7EA5">
                        <w:rPr>
                          <w:rFonts w:eastAsia="Cambria"/>
                        </w:rPr>
                        <w:t>Single, one child: $25.64 per hour</w:t>
                      </w:r>
                    </w:p>
                    <w:p w:rsidR="00443194" w:rsidRPr="007D7EA5" w:rsidRDefault="00443194" w:rsidP="00443194">
                      <w:pPr>
                        <w:rPr>
                          <w:rFonts w:eastAsia="Cambria"/>
                        </w:rPr>
                      </w:pPr>
                      <w:r w:rsidRPr="007D7EA5">
                        <w:rPr>
                          <w:rFonts w:eastAsia="Cambria"/>
                        </w:rPr>
                        <w:t xml:space="preserve">Partnered 1 full time, 1 part time, 1 child: $17.69 </w:t>
                      </w:r>
                    </w:p>
                    <w:p w:rsidR="00443194" w:rsidRPr="007D7EA5" w:rsidRDefault="00443194" w:rsidP="00443194">
                      <w:pPr>
                        <w:rPr>
                          <w:rFonts w:eastAsia="Cambria"/>
                        </w:rPr>
                      </w:pPr>
                      <w:r w:rsidRPr="007D7EA5">
                        <w:rPr>
                          <w:rFonts w:eastAsia="Cambria"/>
                        </w:rPr>
                        <w:t>Partnered 2 full time, 2 children: $19.59</w:t>
                      </w:r>
                    </w:p>
                    <w:p w:rsidR="00443194" w:rsidRDefault="00443194"/>
                  </w:txbxContent>
                </v:textbox>
                <w10:wrap type="square"/>
              </v:shape>
            </w:pict>
          </mc:Fallback>
        </mc:AlternateContent>
      </w:r>
    </w:p>
    <w:p w:rsidR="00B602FD" w:rsidRDefault="00B602FD" w:rsidP="007D7EA5">
      <w:pPr>
        <w:pStyle w:val="ListParagraph"/>
        <w:rPr>
          <w:rFonts w:ascii="Times New Roman" w:hAnsi="Times New Roman"/>
        </w:rPr>
      </w:pPr>
    </w:p>
    <w:p w:rsidR="00B602FD" w:rsidRDefault="00B602FD" w:rsidP="007D7EA5">
      <w:pPr>
        <w:pStyle w:val="ListParagraph"/>
        <w:rPr>
          <w:rFonts w:ascii="Times New Roman" w:hAnsi="Times New Roman"/>
        </w:rPr>
      </w:pPr>
    </w:p>
    <w:p w:rsidR="00B602FD" w:rsidRDefault="00B602FD" w:rsidP="007D7EA5">
      <w:pPr>
        <w:pStyle w:val="ListParagraph"/>
        <w:rPr>
          <w:rFonts w:ascii="Times New Roman" w:hAnsi="Times New Roman"/>
        </w:rPr>
      </w:pPr>
    </w:p>
    <w:p w:rsidR="00B602FD" w:rsidRDefault="00B602FD" w:rsidP="007D7EA5">
      <w:pPr>
        <w:pStyle w:val="ListParagraph"/>
        <w:rPr>
          <w:rFonts w:ascii="Times New Roman" w:hAnsi="Times New Roman"/>
        </w:rPr>
      </w:pPr>
    </w:p>
    <w:p w:rsidR="00B602FD" w:rsidRDefault="00B602FD" w:rsidP="007D7EA5">
      <w:pPr>
        <w:pStyle w:val="ListParagraph"/>
        <w:rPr>
          <w:rFonts w:ascii="Times New Roman" w:hAnsi="Times New Roman"/>
        </w:rPr>
      </w:pPr>
    </w:p>
    <w:p w:rsidR="00B602FD" w:rsidRDefault="00B602FD" w:rsidP="007D7EA5">
      <w:pPr>
        <w:pStyle w:val="ListParagraph"/>
        <w:rPr>
          <w:rFonts w:ascii="Times New Roman" w:hAnsi="Times New Roman"/>
        </w:rPr>
      </w:pPr>
    </w:p>
    <w:p w:rsidR="007D7EA5" w:rsidRDefault="007D7EA5" w:rsidP="007D7EA5">
      <w:pPr>
        <w:pStyle w:val="ListParagraph"/>
        <w:rPr>
          <w:rFonts w:ascii="Times New Roman" w:hAnsi="Times New Roman"/>
        </w:rPr>
      </w:pPr>
    </w:p>
    <w:p w:rsidR="00B602FD" w:rsidRPr="007920E5" w:rsidRDefault="00B602FD" w:rsidP="007D7EA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Source: </w:t>
      </w:r>
      <w:hyperlink r:id="rId13" w:history="1">
        <w:r w:rsidRPr="00B602FD">
          <w:rPr>
            <w:rStyle w:val="Hyperlink"/>
            <w:rFonts w:ascii="Times New Roman" w:hAnsi="Times New Roman"/>
          </w:rPr>
          <w:t>Cost of Living in Minnesota</w:t>
        </w:r>
      </w:hyperlink>
    </w:p>
    <w:sectPr w:rsidR="00B602FD" w:rsidRPr="007920E5" w:rsidSect="008651F8">
      <w:headerReference w:type="default" r:id="rId14"/>
      <w:footerReference w:type="default" r:id="rId15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8B" w:rsidRDefault="00226F8B" w:rsidP="00D77387">
      <w:r>
        <w:separator/>
      </w:r>
    </w:p>
  </w:endnote>
  <w:endnote w:type="continuationSeparator" w:id="0">
    <w:p w:rsidR="00226F8B" w:rsidRDefault="00226F8B" w:rsidP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47D" w:rsidRDefault="002B447D" w:rsidP="00B24C38">
    <w:pPr>
      <w:pStyle w:val="Footer"/>
      <w:jc w:val="center"/>
      <w:rPr>
        <w:color w:val="002060"/>
        <w:sz w:val="20"/>
        <w:szCs w:val="20"/>
      </w:rPr>
    </w:pPr>
  </w:p>
  <w:p w:rsidR="002B447D" w:rsidRPr="004A1BBE" w:rsidRDefault="002B447D" w:rsidP="00D77387">
    <w:pPr>
      <w:pStyle w:val="Footer"/>
      <w:jc w:val="center"/>
      <w:rPr>
        <w:color w:val="44546A"/>
        <w:sz w:val="20"/>
        <w:szCs w:val="20"/>
      </w:rPr>
    </w:pPr>
    <w:r w:rsidRPr="004A1BBE">
      <w:rPr>
        <w:color w:val="44546A"/>
        <w:sz w:val="20"/>
        <w:szCs w:val="20"/>
      </w:rPr>
      <w:t>Minnesota Department of Employment and Economic Development</w:t>
    </w:r>
  </w:p>
  <w:p w:rsidR="002B447D" w:rsidRPr="004A1BBE" w:rsidRDefault="006B30F8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Labor Market Information</w:t>
    </w:r>
  </w:p>
  <w:p w:rsidR="00C76AFE" w:rsidRPr="004A1BBE" w:rsidRDefault="006B30F8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332 Minnesota Street, First National Bank Building, St. Paul, MN 55016</w:t>
    </w:r>
  </w:p>
  <w:p w:rsidR="002B447D" w:rsidRPr="004A1BBE" w:rsidRDefault="002B447D" w:rsidP="00DA146E">
    <w:pPr>
      <w:pStyle w:val="Footer"/>
      <w:jc w:val="center"/>
      <w:rPr>
        <w:color w:val="44546A"/>
        <w:sz w:val="20"/>
        <w:szCs w:val="20"/>
      </w:rPr>
    </w:pPr>
    <w:r w:rsidRPr="004A1BBE">
      <w:rPr>
        <w:color w:val="44546A"/>
        <w:sz w:val="20"/>
        <w:szCs w:val="20"/>
      </w:rPr>
      <w:t>Phone 651</w:t>
    </w:r>
    <w:r w:rsidR="009B1149">
      <w:rPr>
        <w:color w:val="44546A"/>
        <w:sz w:val="20"/>
        <w:szCs w:val="20"/>
      </w:rPr>
      <w:t>-</w:t>
    </w:r>
    <w:r w:rsidR="00174A4F">
      <w:rPr>
        <w:color w:val="44546A"/>
        <w:sz w:val="20"/>
        <w:szCs w:val="20"/>
      </w:rPr>
      <w:t>259</w:t>
    </w:r>
    <w:r w:rsidR="002C0B1A">
      <w:rPr>
        <w:color w:val="44546A"/>
        <w:sz w:val="20"/>
        <w:szCs w:val="20"/>
      </w:rPr>
      <w:t>-</w:t>
    </w:r>
    <w:r w:rsidR="00174A4F">
      <w:rPr>
        <w:color w:val="44546A"/>
        <w:sz w:val="20"/>
        <w:szCs w:val="20"/>
      </w:rPr>
      <w:t>7383 or 1-888-234-1114</w:t>
    </w:r>
  </w:p>
  <w:p w:rsidR="002B447D" w:rsidRPr="004A1BBE" w:rsidRDefault="00C76AFE" w:rsidP="00D77387">
    <w:pPr>
      <w:pStyle w:val="Footer"/>
      <w:jc w:val="center"/>
      <w:rPr>
        <w:color w:val="44546A"/>
        <w:sz w:val="20"/>
        <w:szCs w:val="20"/>
      </w:rPr>
    </w:pPr>
    <w:r w:rsidRPr="004A1BBE">
      <w:rPr>
        <w:color w:val="44546A"/>
        <w:sz w:val="20"/>
        <w:szCs w:val="20"/>
      </w:rPr>
      <w:t>m</w:t>
    </w:r>
    <w:r w:rsidR="00B24C38" w:rsidRPr="004A1BBE">
      <w:rPr>
        <w:color w:val="44546A"/>
        <w:sz w:val="20"/>
        <w:szCs w:val="20"/>
      </w:rPr>
      <w:t>n.gov/deed</w:t>
    </w:r>
    <w:r w:rsidR="006B30F8">
      <w:rPr>
        <w:color w:val="44546A"/>
        <w:sz w:val="20"/>
        <w:szCs w:val="20"/>
      </w:rPr>
      <w:t>/data</w:t>
    </w:r>
  </w:p>
  <w:p w:rsidR="002B447D" w:rsidRDefault="002B4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8B" w:rsidRDefault="00226F8B" w:rsidP="00D77387">
      <w:r>
        <w:separator/>
      </w:r>
    </w:p>
  </w:footnote>
  <w:footnote w:type="continuationSeparator" w:id="0">
    <w:p w:rsidR="00226F8B" w:rsidRDefault="00226F8B" w:rsidP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332" w:rsidRDefault="003B3244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page">
            <wp:posOffset>15875</wp:posOffset>
          </wp:positionH>
          <wp:positionV relativeFrom="page">
            <wp:posOffset>0</wp:posOffset>
          </wp:positionV>
          <wp:extent cx="7772400" cy="1249680"/>
          <wp:effectExtent l="0" t="0" r="0" b="7620"/>
          <wp:wrapSquare wrapText="bothSides"/>
          <wp:docPr id="4" name="Picture 4" descr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Department of Employment and Economic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B0214"/>
    <w:multiLevelType w:val="hybridMultilevel"/>
    <w:tmpl w:val="F4DA01D4"/>
    <w:lvl w:ilvl="0" w:tplc="A4EA3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AD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41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2E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06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89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43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65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03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42C7B"/>
    <w:multiLevelType w:val="hybridMultilevel"/>
    <w:tmpl w:val="3F5AB3E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7AA132E5"/>
    <w:multiLevelType w:val="hybridMultilevel"/>
    <w:tmpl w:val="0F50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B2445"/>
    <w:multiLevelType w:val="hybridMultilevel"/>
    <w:tmpl w:val="57584E1C"/>
    <w:lvl w:ilvl="0" w:tplc="17543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80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49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2E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0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0C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0C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47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E0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A3"/>
    <w:rsid w:val="0006480A"/>
    <w:rsid w:val="00091CA0"/>
    <w:rsid w:val="000A0B25"/>
    <w:rsid w:val="000B4D99"/>
    <w:rsid w:val="000C251E"/>
    <w:rsid w:val="000C4E9C"/>
    <w:rsid w:val="000F6F96"/>
    <w:rsid w:val="001014FF"/>
    <w:rsid w:val="00140902"/>
    <w:rsid w:val="00174A4F"/>
    <w:rsid w:val="001E08AD"/>
    <w:rsid w:val="001E1277"/>
    <w:rsid w:val="00225634"/>
    <w:rsid w:val="00226F8B"/>
    <w:rsid w:val="00261B36"/>
    <w:rsid w:val="002A750C"/>
    <w:rsid w:val="002B447D"/>
    <w:rsid w:val="002C0B1A"/>
    <w:rsid w:val="002C1910"/>
    <w:rsid w:val="002C5BCD"/>
    <w:rsid w:val="002D36EA"/>
    <w:rsid w:val="003051E5"/>
    <w:rsid w:val="003305BC"/>
    <w:rsid w:val="0035578A"/>
    <w:rsid w:val="003A6B0E"/>
    <w:rsid w:val="003B3244"/>
    <w:rsid w:val="00413838"/>
    <w:rsid w:val="00414225"/>
    <w:rsid w:val="00443194"/>
    <w:rsid w:val="00491043"/>
    <w:rsid w:val="004A1BBE"/>
    <w:rsid w:val="005356CA"/>
    <w:rsid w:val="00552A99"/>
    <w:rsid w:val="00597B8C"/>
    <w:rsid w:val="005A33EE"/>
    <w:rsid w:val="005B1F42"/>
    <w:rsid w:val="005D76AE"/>
    <w:rsid w:val="00605827"/>
    <w:rsid w:val="00616E1B"/>
    <w:rsid w:val="0064742C"/>
    <w:rsid w:val="00683AA7"/>
    <w:rsid w:val="0069235D"/>
    <w:rsid w:val="00695A6F"/>
    <w:rsid w:val="006B21DB"/>
    <w:rsid w:val="006B30F8"/>
    <w:rsid w:val="006C0CD9"/>
    <w:rsid w:val="0070650C"/>
    <w:rsid w:val="00716698"/>
    <w:rsid w:val="00726E28"/>
    <w:rsid w:val="007459E9"/>
    <w:rsid w:val="00781305"/>
    <w:rsid w:val="00790C44"/>
    <w:rsid w:val="007920E5"/>
    <w:rsid w:val="0079381C"/>
    <w:rsid w:val="007B32D3"/>
    <w:rsid w:val="007D7EA5"/>
    <w:rsid w:val="00841F59"/>
    <w:rsid w:val="008651F8"/>
    <w:rsid w:val="00866145"/>
    <w:rsid w:val="008A5A23"/>
    <w:rsid w:val="008C662B"/>
    <w:rsid w:val="008D0530"/>
    <w:rsid w:val="008E6C96"/>
    <w:rsid w:val="008F167C"/>
    <w:rsid w:val="00922D42"/>
    <w:rsid w:val="00924416"/>
    <w:rsid w:val="00965305"/>
    <w:rsid w:val="00980E53"/>
    <w:rsid w:val="009B1149"/>
    <w:rsid w:val="009B1672"/>
    <w:rsid w:val="009B4677"/>
    <w:rsid w:val="009D060B"/>
    <w:rsid w:val="00A21FE4"/>
    <w:rsid w:val="00A81B3D"/>
    <w:rsid w:val="00A954B0"/>
    <w:rsid w:val="00AA7750"/>
    <w:rsid w:val="00AB5332"/>
    <w:rsid w:val="00AC22A3"/>
    <w:rsid w:val="00AE06C8"/>
    <w:rsid w:val="00AE652B"/>
    <w:rsid w:val="00B024D8"/>
    <w:rsid w:val="00B24C38"/>
    <w:rsid w:val="00B4470E"/>
    <w:rsid w:val="00B602FD"/>
    <w:rsid w:val="00B60AAB"/>
    <w:rsid w:val="00B65A2C"/>
    <w:rsid w:val="00B76AA8"/>
    <w:rsid w:val="00B87845"/>
    <w:rsid w:val="00C309D9"/>
    <w:rsid w:val="00C36DDA"/>
    <w:rsid w:val="00C556EB"/>
    <w:rsid w:val="00C6261E"/>
    <w:rsid w:val="00C719B5"/>
    <w:rsid w:val="00C76AFE"/>
    <w:rsid w:val="00C97E23"/>
    <w:rsid w:val="00D0759B"/>
    <w:rsid w:val="00D77387"/>
    <w:rsid w:val="00D83905"/>
    <w:rsid w:val="00D86B5B"/>
    <w:rsid w:val="00D94CFB"/>
    <w:rsid w:val="00DA146E"/>
    <w:rsid w:val="00DA2DCD"/>
    <w:rsid w:val="00DD7539"/>
    <w:rsid w:val="00DE0D84"/>
    <w:rsid w:val="00E011BC"/>
    <w:rsid w:val="00E03EEA"/>
    <w:rsid w:val="00E077C4"/>
    <w:rsid w:val="00E07E86"/>
    <w:rsid w:val="00E41CBF"/>
    <w:rsid w:val="00E420BD"/>
    <w:rsid w:val="00E44D7D"/>
    <w:rsid w:val="00E610B2"/>
    <w:rsid w:val="00E91BA6"/>
    <w:rsid w:val="00EC5B5C"/>
    <w:rsid w:val="00F148A9"/>
    <w:rsid w:val="00F24A94"/>
    <w:rsid w:val="00F26EA5"/>
    <w:rsid w:val="00F5156F"/>
    <w:rsid w:val="00F6546A"/>
    <w:rsid w:val="00F7780C"/>
    <w:rsid w:val="00F8016F"/>
    <w:rsid w:val="00FC2994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BCA8324-0BEF-41B3-8FC0-1CAFC9A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ascii="Calibri" w:eastAsia="MS Gothic" w:hAnsi="Calibri"/>
      <w:b/>
      <w:color w:val="000000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ascii="Calibri" w:eastAsia="MS Gothic" w:hAnsi="Calibri"/>
      <w:b/>
      <w:color w:val="000000"/>
      <w:sz w:val="2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ascii="Calibri" w:eastAsia="MS Gothic" w:hAnsi="Calibri"/>
      <w:b/>
      <w:color w:val="000000"/>
      <w:sz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ascii="Calibri" w:eastAsia="MS Gothic" w:hAnsi="Calibri"/>
      <w:b/>
      <w:iCs/>
      <w:color w:val="000000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ascii="Calibri" w:eastAsia="MS Gothic" w:hAnsi="Calibri"/>
      <w:b/>
      <w:szCs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ascii="Calibri" w:eastAsia="MS Gothic" w:hAnsi="Calibri"/>
      <w:b/>
      <w:color w:val="00000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ascii="Calibri" w:eastAsia="Cambria" w:hAnsi="Calibri"/>
      <w:szCs w:val="22"/>
      <w:lang w:eastAsia="ja-JP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paragraph" w:customStyle="1" w:styleId="Default">
    <w:name w:val="Default"/>
    <w:rsid w:val="00AE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1F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27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5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1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7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5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mn.gov/deed/data/data-tools/c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n.gov/deed/data/data-tools/affirmative-action-statisti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.gov/deed/data/data-tools/job-vacanc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n.gov/deed/data/data-tools/o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n.gov/deed/data/data-tools/employment-outloo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908599450848835"/>
          <c:y val="3.35148586823645E-2"/>
          <c:w val="0.70032496785934317"/>
          <c:h val="0.82765829670846069"/>
        </c:manualLayout>
      </c:layout>
      <c:areaChart>
        <c:grouping val="standard"/>
        <c:varyColors val="0"/>
        <c:ser>
          <c:idx val="2"/>
          <c:order val="2"/>
          <c:tx>
            <c:strRef>
              <c:f>Sheet1!$E$8</c:f>
              <c:strCache>
                <c:ptCount val="1"/>
                <c:pt idx="0">
                  <c:v>Unemployment Rate</c:v>
                </c:pt>
              </c:strCache>
            </c:strRef>
          </c:tx>
          <c:spPr>
            <a:solidFill>
              <a:schemeClr val="tx2"/>
            </a:solidFill>
          </c:spPr>
          <c:cat>
            <c:strRef>
              <c:f>Sheet1!$B$9:$B$45</c:f>
              <c:strCache>
                <c:ptCount val="37"/>
                <c:pt idx="0">
                  <c:v>88</c:v>
                </c:pt>
                <c:pt idx="1">
                  <c:v>89</c:v>
                </c:pt>
                <c:pt idx="2">
                  <c:v>90</c:v>
                </c:pt>
                <c:pt idx="3">
                  <c:v>91</c:v>
                </c:pt>
                <c:pt idx="4">
                  <c:v>92</c:v>
                </c:pt>
                <c:pt idx="5">
                  <c:v>93</c:v>
                </c:pt>
                <c:pt idx="6">
                  <c:v>94</c:v>
                </c:pt>
                <c:pt idx="7">
                  <c:v>95</c:v>
                </c:pt>
                <c:pt idx="8">
                  <c:v>96</c:v>
                </c:pt>
                <c:pt idx="9">
                  <c:v>97</c:v>
                </c:pt>
                <c:pt idx="10">
                  <c:v>98</c:v>
                </c:pt>
                <c:pt idx="11">
                  <c:v>99</c:v>
                </c:pt>
                <c:pt idx="12">
                  <c:v>00</c:v>
                </c:pt>
                <c:pt idx="13">
                  <c:v>01</c:v>
                </c:pt>
                <c:pt idx="14">
                  <c:v>02</c:v>
                </c:pt>
                <c:pt idx="15">
                  <c:v>03</c:v>
                </c:pt>
                <c:pt idx="16">
                  <c:v>04</c:v>
                </c:pt>
                <c:pt idx="17">
                  <c:v>05</c:v>
                </c:pt>
                <c:pt idx="18">
                  <c:v>06</c:v>
                </c:pt>
                <c:pt idx="19">
                  <c:v>07</c:v>
                </c:pt>
                <c:pt idx="20">
                  <c:v>08</c:v>
                </c:pt>
                <c:pt idx="21">
                  <c:v>09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strCache>
            </c:strRef>
          </c:cat>
          <c:val>
            <c:numRef>
              <c:f>Sheet1!$E$9:$E$45</c:f>
              <c:numCache>
                <c:formatCode>General</c:formatCode>
                <c:ptCount val="37"/>
                <c:pt idx="0">
                  <c:v>4.3</c:v>
                </c:pt>
                <c:pt idx="1">
                  <c:v>4.3</c:v>
                </c:pt>
                <c:pt idx="2">
                  <c:v>4.8</c:v>
                </c:pt>
                <c:pt idx="3">
                  <c:v>5.2</c:v>
                </c:pt>
                <c:pt idx="4">
                  <c:v>5.0999999999999996</c:v>
                </c:pt>
                <c:pt idx="5">
                  <c:v>4.9000000000000004</c:v>
                </c:pt>
                <c:pt idx="6">
                  <c:v>4.0999999999999996</c:v>
                </c:pt>
                <c:pt idx="7">
                  <c:v>3.7</c:v>
                </c:pt>
                <c:pt idx="8">
                  <c:v>3.9</c:v>
                </c:pt>
                <c:pt idx="9">
                  <c:v>3.3</c:v>
                </c:pt>
                <c:pt idx="10">
                  <c:v>2.8</c:v>
                </c:pt>
                <c:pt idx="11">
                  <c:v>2.8</c:v>
                </c:pt>
                <c:pt idx="12">
                  <c:v>3.1</c:v>
                </c:pt>
                <c:pt idx="13">
                  <c:v>3.8</c:v>
                </c:pt>
                <c:pt idx="14">
                  <c:v>4.5</c:v>
                </c:pt>
                <c:pt idx="15">
                  <c:v>4.9000000000000004</c:v>
                </c:pt>
                <c:pt idx="16">
                  <c:v>4.5999999999999996</c:v>
                </c:pt>
                <c:pt idx="17">
                  <c:v>4.2</c:v>
                </c:pt>
                <c:pt idx="18">
                  <c:v>4.0999999999999996</c:v>
                </c:pt>
                <c:pt idx="19">
                  <c:v>4.7</c:v>
                </c:pt>
                <c:pt idx="20">
                  <c:v>5.4</c:v>
                </c:pt>
                <c:pt idx="21">
                  <c:v>8</c:v>
                </c:pt>
                <c:pt idx="22">
                  <c:v>7.4</c:v>
                </c:pt>
                <c:pt idx="23">
                  <c:v>6.5</c:v>
                </c:pt>
                <c:pt idx="24">
                  <c:v>5.6</c:v>
                </c:pt>
                <c:pt idx="25">
                  <c:v>5.0999999999999996</c:v>
                </c:pt>
                <c:pt idx="26" formatCode="0.0">
                  <c:v>4.5</c:v>
                </c:pt>
                <c:pt idx="27" formatCode="0.0">
                  <c:v>3.7</c:v>
                </c:pt>
                <c:pt idx="28" formatCode="0.0">
                  <c:v>3.63</c:v>
                </c:pt>
                <c:pt idx="29" formatCode="0.0">
                  <c:v>3.56</c:v>
                </c:pt>
                <c:pt idx="30" formatCode="0.0">
                  <c:v>3.4900000000000011</c:v>
                </c:pt>
                <c:pt idx="31" formatCode="0.0">
                  <c:v>3.4200000000000008</c:v>
                </c:pt>
                <c:pt idx="32" formatCode="0.0">
                  <c:v>3.35</c:v>
                </c:pt>
                <c:pt idx="33" formatCode="0.0">
                  <c:v>3.2800000000000011</c:v>
                </c:pt>
                <c:pt idx="34" formatCode="0.0">
                  <c:v>3.2100000000000009</c:v>
                </c:pt>
                <c:pt idx="35" formatCode="0.0">
                  <c:v>3.140000000000001</c:v>
                </c:pt>
                <c:pt idx="36" formatCode="0.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4201136"/>
        <c:axId val="104204272"/>
      </c:areaChart>
      <c:lineChart>
        <c:grouping val="standard"/>
        <c:varyColors val="0"/>
        <c:ser>
          <c:idx val="0"/>
          <c:order val="0"/>
          <c:tx>
            <c:strRef>
              <c:f>Sheet1!$C$8</c:f>
              <c:strCache>
                <c:ptCount val="1"/>
                <c:pt idx="0">
                  <c:v>Projection Employment</c:v>
                </c:pt>
              </c:strCache>
            </c:strRef>
          </c:tx>
          <c:spPr>
            <a:ln w="50800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Sheet1!$B$9:$B$45</c:f>
              <c:strCache>
                <c:ptCount val="37"/>
                <c:pt idx="0">
                  <c:v>88</c:v>
                </c:pt>
                <c:pt idx="1">
                  <c:v>89</c:v>
                </c:pt>
                <c:pt idx="2">
                  <c:v>90</c:v>
                </c:pt>
                <c:pt idx="3">
                  <c:v>91</c:v>
                </c:pt>
                <c:pt idx="4">
                  <c:v>92</c:v>
                </c:pt>
                <c:pt idx="5">
                  <c:v>93</c:v>
                </c:pt>
                <c:pt idx="6">
                  <c:v>94</c:v>
                </c:pt>
                <c:pt idx="7">
                  <c:v>95</c:v>
                </c:pt>
                <c:pt idx="8">
                  <c:v>96</c:v>
                </c:pt>
                <c:pt idx="9">
                  <c:v>97</c:v>
                </c:pt>
                <c:pt idx="10">
                  <c:v>98</c:v>
                </c:pt>
                <c:pt idx="11">
                  <c:v>99</c:v>
                </c:pt>
                <c:pt idx="12">
                  <c:v>00</c:v>
                </c:pt>
                <c:pt idx="13">
                  <c:v>01</c:v>
                </c:pt>
                <c:pt idx="14">
                  <c:v>02</c:v>
                </c:pt>
                <c:pt idx="15">
                  <c:v>03</c:v>
                </c:pt>
                <c:pt idx="16">
                  <c:v>04</c:v>
                </c:pt>
                <c:pt idx="17">
                  <c:v>05</c:v>
                </c:pt>
                <c:pt idx="18">
                  <c:v>06</c:v>
                </c:pt>
                <c:pt idx="19">
                  <c:v>07</c:v>
                </c:pt>
                <c:pt idx="20">
                  <c:v>08</c:v>
                </c:pt>
                <c:pt idx="21">
                  <c:v>09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strCache>
            </c:strRef>
          </c:cat>
          <c:val>
            <c:numRef>
              <c:f>Sheet1!$C$9:$C$45</c:f>
              <c:numCache>
                <c:formatCode>General</c:formatCode>
                <c:ptCount val="37"/>
                <c:pt idx="0">
                  <c:v>2259363.1475989399</c:v>
                </c:pt>
                <c:pt idx="1">
                  <c:v>2312121.9990205201</c:v>
                </c:pt>
                <c:pt idx="2">
                  <c:v>2375812.21601506</c:v>
                </c:pt>
                <c:pt idx="3">
                  <c:v>2380737.4847555198</c:v>
                </c:pt>
                <c:pt idx="4">
                  <c:v>2430630.56677423</c:v>
                </c:pt>
                <c:pt idx="5">
                  <c:v>2484043.4584142598</c:v>
                </c:pt>
                <c:pt idx="6">
                  <c:v>2563966.2089972398</c:v>
                </c:pt>
                <c:pt idx="7">
                  <c:v>2634704.8723792499</c:v>
                </c:pt>
                <c:pt idx="8">
                  <c:v>2687679.7798649399</c:v>
                </c:pt>
                <c:pt idx="9">
                  <c:v>2757904.2706734501</c:v>
                </c:pt>
                <c:pt idx="10">
                  <c:v>2800644.2188589899</c:v>
                </c:pt>
                <c:pt idx="11">
                  <c:v>2849349.4783577402</c:v>
                </c:pt>
                <c:pt idx="12">
                  <c:v>2903228.0136640202</c:v>
                </c:pt>
                <c:pt idx="13">
                  <c:v>2932359.07778002</c:v>
                </c:pt>
                <c:pt idx="14">
                  <c:v>2898720.2044291901</c:v>
                </c:pt>
                <c:pt idx="15">
                  <c:v>2894712.5224297601</c:v>
                </c:pt>
                <c:pt idx="16">
                  <c:v>2913469.87748675</c:v>
                </c:pt>
                <c:pt idx="17">
                  <c:v>2947166.6340064202</c:v>
                </c:pt>
                <c:pt idx="18">
                  <c:v>2977096.3276040698</c:v>
                </c:pt>
                <c:pt idx="19">
                  <c:v>2982103.62397289</c:v>
                </c:pt>
                <c:pt idx="20">
                  <c:v>2968980.99292426</c:v>
                </c:pt>
                <c:pt idx="21">
                  <c:v>2856766.7245386001</c:v>
                </c:pt>
                <c:pt idx="22">
                  <c:v>2838731.94632626</c:v>
                </c:pt>
                <c:pt idx="23">
                  <c:v>2878350.1265835799</c:v>
                </c:pt>
                <c:pt idx="24">
                  <c:v>2917376.8244120502</c:v>
                </c:pt>
                <c:pt idx="25">
                  <c:v>2954374.9099701401</c:v>
                </c:pt>
                <c:pt idx="26">
                  <c:v>3007000</c:v>
                </c:pt>
                <c:pt idx="27">
                  <c:v>3047000</c:v>
                </c:pt>
                <c:pt idx="28">
                  <c:v>3057000</c:v>
                </c:pt>
                <c:pt idx="29">
                  <c:v>3067000</c:v>
                </c:pt>
                <c:pt idx="30">
                  <c:v>3077000</c:v>
                </c:pt>
                <c:pt idx="31">
                  <c:v>3087000</c:v>
                </c:pt>
                <c:pt idx="32">
                  <c:v>3097000</c:v>
                </c:pt>
                <c:pt idx="33">
                  <c:v>3107000</c:v>
                </c:pt>
                <c:pt idx="34">
                  <c:v>3117000</c:v>
                </c:pt>
                <c:pt idx="35">
                  <c:v>3127000</c:v>
                </c:pt>
                <c:pt idx="36">
                  <c:v>3137000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Sheet1!$D$8</c:f>
              <c:strCache>
                <c:ptCount val="1"/>
                <c:pt idx="0">
                  <c:v>Labor Force</c:v>
                </c:pt>
              </c:strCache>
            </c:strRef>
          </c:tx>
          <c:spPr>
            <a:ln w="50800">
              <a:solidFill>
                <a:srgbClr val="FFC000"/>
              </a:solidFill>
            </a:ln>
          </c:spPr>
          <c:marker>
            <c:symbol val="none"/>
          </c:marker>
          <c:cat>
            <c:strRef>
              <c:f>Sheet1!$B$9:$B$45</c:f>
              <c:strCache>
                <c:ptCount val="37"/>
                <c:pt idx="0">
                  <c:v>88</c:v>
                </c:pt>
                <c:pt idx="1">
                  <c:v>89</c:v>
                </c:pt>
                <c:pt idx="2">
                  <c:v>90</c:v>
                </c:pt>
                <c:pt idx="3">
                  <c:v>91</c:v>
                </c:pt>
                <c:pt idx="4">
                  <c:v>92</c:v>
                </c:pt>
                <c:pt idx="5">
                  <c:v>93</c:v>
                </c:pt>
                <c:pt idx="6">
                  <c:v>94</c:v>
                </c:pt>
                <c:pt idx="7">
                  <c:v>95</c:v>
                </c:pt>
                <c:pt idx="8">
                  <c:v>96</c:v>
                </c:pt>
                <c:pt idx="9">
                  <c:v>97</c:v>
                </c:pt>
                <c:pt idx="10">
                  <c:v>98</c:v>
                </c:pt>
                <c:pt idx="11">
                  <c:v>99</c:v>
                </c:pt>
                <c:pt idx="12">
                  <c:v>00</c:v>
                </c:pt>
                <c:pt idx="13">
                  <c:v>01</c:v>
                </c:pt>
                <c:pt idx="14">
                  <c:v>02</c:v>
                </c:pt>
                <c:pt idx="15">
                  <c:v>03</c:v>
                </c:pt>
                <c:pt idx="16">
                  <c:v>04</c:v>
                </c:pt>
                <c:pt idx="17">
                  <c:v>05</c:v>
                </c:pt>
                <c:pt idx="18">
                  <c:v>06</c:v>
                </c:pt>
                <c:pt idx="19">
                  <c:v>07</c:v>
                </c:pt>
                <c:pt idx="20">
                  <c:v>08</c:v>
                </c:pt>
                <c:pt idx="21">
                  <c:v>09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strCache>
            </c:strRef>
          </c:cat>
          <c:val>
            <c:numRef>
              <c:f>Sheet1!$D$9:$D$45</c:f>
              <c:numCache>
                <c:formatCode>General</c:formatCode>
                <c:ptCount val="37"/>
                <c:pt idx="0">
                  <c:v>2307357</c:v>
                </c:pt>
                <c:pt idx="1">
                  <c:v>2351967</c:v>
                </c:pt>
                <c:pt idx="2">
                  <c:v>2398898</c:v>
                </c:pt>
                <c:pt idx="3">
                  <c:v>2427605</c:v>
                </c:pt>
                <c:pt idx="4">
                  <c:v>2468394</c:v>
                </c:pt>
                <c:pt idx="5">
                  <c:v>2516374</c:v>
                </c:pt>
                <c:pt idx="6">
                  <c:v>2556436</c:v>
                </c:pt>
                <c:pt idx="7">
                  <c:v>2604290</c:v>
                </c:pt>
                <c:pt idx="8">
                  <c:v>2652526</c:v>
                </c:pt>
                <c:pt idx="9">
                  <c:v>2679233</c:v>
                </c:pt>
                <c:pt idx="10">
                  <c:v>2711783</c:v>
                </c:pt>
                <c:pt idx="11">
                  <c:v>2756144</c:v>
                </c:pt>
                <c:pt idx="12">
                  <c:v>2812947</c:v>
                </c:pt>
                <c:pt idx="13">
                  <c:v>2845202</c:v>
                </c:pt>
                <c:pt idx="14">
                  <c:v>2859601</c:v>
                </c:pt>
                <c:pt idx="15">
                  <c:v>2874663</c:v>
                </c:pt>
                <c:pt idx="16">
                  <c:v>2880427</c:v>
                </c:pt>
                <c:pt idx="17">
                  <c:v>2879759</c:v>
                </c:pt>
                <c:pt idx="18">
                  <c:v>2887831</c:v>
                </c:pt>
                <c:pt idx="19">
                  <c:v>2906389</c:v>
                </c:pt>
                <c:pt idx="20">
                  <c:v>2925088</c:v>
                </c:pt>
                <c:pt idx="21">
                  <c:v>2941976</c:v>
                </c:pt>
                <c:pt idx="22">
                  <c:v>2938795</c:v>
                </c:pt>
                <c:pt idx="23">
                  <c:v>2946278</c:v>
                </c:pt>
                <c:pt idx="24">
                  <c:v>2958272</c:v>
                </c:pt>
                <c:pt idx="25">
                  <c:v>2971523</c:v>
                </c:pt>
                <c:pt idx="26">
                  <c:v>2982750</c:v>
                </c:pt>
                <c:pt idx="27">
                  <c:v>3010366</c:v>
                </c:pt>
                <c:pt idx="28">
                  <c:v>3013823</c:v>
                </c:pt>
                <c:pt idx="29">
                  <c:v>3017280</c:v>
                </c:pt>
                <c:pt idx="30">
                  <c:v>3020737</c:v>
                </c:pt>
                <c:pt idx="31">
                  <c:v>3024194</c:v>
                </c:pt>
                <c:pt idx="32">
                  <c:v>3027651</c:v>
                </c:pt>
                <c:pt idx="33">
                  <c:v>3031108</c:v>
                </c:pt>
                <c:pt idx="34">
                  <c:v>3034565</c:v>
                </c:pt>
                <c:pt idx="35">
                  <c:v>3038022</c:v>
                </c:pt>
                <c:pt idx="36">
                  <c:v>3041484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203488"/>
        <c:axId val="104203880"/>
      </c:lineChart>
      <c:catAx>
        <c:axId val="104203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/>
                </a:pPr>
                <a:r>
                  <a:rPr lang="en-US" sz="1100" dirty="0" smtClean="0"/>
                  <a:t>Year</a:t>
                </a:r>
                <a:endParaRPr lang="en-US" sz="1100" dirty="0"/>
              </a:p>
            </c:rich>
          </c:tx>
          <c:layout>
            <c:manualLayout>
              <c:xMode val="edge"/>
              <c:yMode val="edge"/>
              <c:x val="0.49535202196947598"/>
              <c:y val="0.94919301753947427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100"/>
            </a:pPr>
            <a:endParaRPr lang="en-US"/>
          </a:p>
        </c:txPr>
        <c:crossAx val="104203880"/>
        <c:crosses val="autoZero"/>
        <c:auto val="1"/>
        <c:lblAlgn val="ctr"/>
        <c:lblOffset val="100"/>
        <c:tickLblSkip val="2"/>
        <c:noMultiLvlLbl val="0"/>
      </c:catAx>
      <c:valAx>
        <c:axId val="104203880"/>
        <c:scaling>
          <c:orientation val="minMax"/>
          <c:max val="3300000"/>
          <c:min val="2000000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100"/>
                  <a:t>Employment and Labor Force</a:t>
                </a:r>
              </a:p>
            </c:rich>
          </c:tx>
          <c:layout>
            <c:manualLayout>
              <c:xMode val="edge"/>
              <c:yMode val="edge"/>
              <c:x val="2.114160763825825E-3"/>
              <c:y val="0.1750749090816409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100"/>
            </a:pPr>
            <a:endParaRPr lang="en-US"/>
          </a:p>
        </c:txPr>
        <c:crossAx val="104203488"/>
        <c:crosses val="autoZero"/>
        <c:crossBetween val="between"/>
      </c:valAx>
      <c:valAx>
        <c:axId val="104204272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100" dirty="0" smtClean="0"/>
                  <a:t>Unemployment </a:t>
                </a:r>
                <a:r>
                  <a:rPr lang="en-US" sz="1100" dirty="0"/>
                  <a:t>Rate</a:t>
                </a:r>
              </a:p>
            </c:rich>
          </c:tx>
          <c:layout>
            <c:manualLayout>
              <c:xMode val="edge"/>
              <c:yMode val="edge"/>
              <c:x val="0.95114590499709495"/>
              <c:y val="0.247914989734234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04201136"/>
        <c:crosses val="max"/>
        <c:crossBetween val="between"/>
      </c:valAx>
      <c:catAx>
        <c:axId val="1042011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4204272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21217987494687901"/>
          <c:y val="4.1162527682294801E-2"/>
          <c:w val="0.43022631560247898"/>
          <c:h val="0.160382691737528"/>
        </c:manualLayout>
      </c:layout>
      <c:overlay val="0"/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>
      <a:solidFill>
        <a:schemeClr val="tx1"/>
      </a:solidFill>
    </a:ln>
  </c:spPr>
  <c:txPr>
    <a:bodyPr/>
    <a:lstStyle/>
    <a:p>
      <a:pPr>
        <a:defRPr sz="2000">
          <a:solidFill>
            <a:schemeClr val="tx1"/>
          </a:solidFill>
          <a:latin typeface="Arial Rounded MT Bold" pitchFamily="34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0.31424</cdr:x>
      <cdr:y>0.08059</cdr:y>
    </cdr:from>
    <cdr:to>
      <cdr:x>0.31951</cdr:x>
      <cdr:y>0.08787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22005" y="506075"/>
          <a:ext cx="45719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3,083,000</a:t>
          </a:r>
        </a:p>
      </cdr:txBody>
    </cdr:sp>
  </cdr:relSizeAnchor>
  <cdr:relSizeAnchor xmlns:cdr="http://schemas.openxmlformats.org/drawingml/2006/chartDrawing">
    <cdr:from>
      <cdr:x>0.32783</cdr:x>
      <cdr:y>0.10351</cdr:y>
    </cdr:from>
    <cdr:to>
      <cdr:x>0.50152</cdr:x>
      <cdr:y>0.20084</cdr:y>
    </cdr:to>
    <cdr:sp macro="" textlink="">
      <cdr:nvSpPr>
        <cdr:cNvPr id="3" name="TextBox 2"/>
        <cdr:cNvSpPr txBox="1"/>
      </cdr:nvSpPr>
      <cdr:spPr>
        <a:xfrm xmlns:a="http://schemas.openxmlformats.org/drawingml/2006/main" flipH="1" flipV="1">
          <a:off x="2839719" y="650065"/>
          <a:ext cx="1504557" cy="611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0.71396</cdr:x>
      <cdr:y>0</cdr:y>
    </cdr:from>
    <cdr:to>
      <cdr:x>0.71933</cdr:x>
      <cdr:y>0.86309</cdr:y>
    </cdr:to>
    <cdr:sp macro="" textlink="">
      <cdr:nvSpPr>
        <cdr:cNvPr id="6" name="Straight Connector 5"/>
        <cdr:cNvSpPr/>
      </cdr:nvSpPr>
      <cdr:spPr>
        <a:xfrm xmlns:a="http://schemas.openxmlformats.org/drawingml/2006/main" rot="5400000" flipV="1">
          <a:off x="2670092" y="1339438"/>
          <a:ext cx="2709083" cy="30207"/>
        </a:xfrm>
        <a:prstGeom xmlns:a="http://schemas.openxmlformats.org/drawingml/2006/main" prst="line">
          <a:avLst/>
        </a:prstGeom>
        <a:ln xmlns:a="http://schemas.openxmlformats.org/drawingml/2006/main" w="5080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0.60211</cdr:x>
      <cdr:y>0.75209</cdr:y>
    </cdr:from>
    <cdr:to>
      <cdr:x>0.72917</cdr:x>
      <cdr:y>0.87179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381426" y="2360658"/>
          <a:ext cx="713562" cy="375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200">
              <a:solidFill>
                <a:schemeClr val="bg1"/>
              </a:solidFill>
              <a:latin typeface="Arial Rounded MT Bold" pitchFamily="34" charset="0"/>
            </a:rPr>
            <a:t>Actual</a:t>
          </a:r>
          <a:r>
            <a:rPr lang="en-US" sz="2000" baseline="0">
              <a:solidFill>
                <a:schemeClr val="bg1"/>
              </a:solidFill>
              <a:latin typeface="Arial Rounded MT Bold" pitchFamily="34" charset="0"/>
            </a:rPr>
            <a:t> </a:t>
          </a:r>
          <a:r>
            <a:rPr lang="en-US" sz="1100">
              <a:solidFill>
                <a:schemeClr val="bg1"/>
              </a:solidFill>
            </a:rPr>
            <a:t> </a:t>
          </a:r>
        </a:p>
      </cdr:txBody>
    </cdr:sp>
  </cdr:relSizeAnchor>
  <cdr:relSizeAnchor xmlns:cdr="http://schemas.openxmlformats.org/drawingml/2006/chartDrawing">
    <cdr:from>
      <cdr:x>0.71747</cdr:x>
      <cdr:y>0.77613</cdr:y>
    </cdr:from>
    <cdr:to>
      <cdr:x>0.90403</cdr:x>
      <cdr:y>0.84372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4029292" y="2436124"/>
          <a:ext cx="1047675" cy="2121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200">
              <a:solidFill>
                <a:sysClr val="window" lastClr="FFFFFF"/>
              </a:solidFill>
              <a:latin typeface="Arial Rounded MT Bold" pitchFamily="34" charset="0"/>
            </a:rPr>
            <a:t>Projected</a:t>
          </a:r>
          <a:r>
            <a:rPr lang="en-US" sz="1600">
              <a:solidFill>
                <a:sysClr val="window" lastClr="FFFFFF"/>
              </a:solidFill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591E-B224-4497-ACAE-9EBBD08A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DEED</Company>
  <LinksUpToDate>false</LinksUpToDate>
  <CharactersWithSpaces>4876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http://mn.gov/mnit/assets/MinnesotaStateAccessibleDocumentReferenceGuide2013-v1_tcm38-62558.pdf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WFCUSER</dc:creator>
  <cp:keywords/>
  <dc:description/>
  <cp:lastModifiedBy>GOPGuest</cp:lastModifiedBy>
  <cp:revision>2</cp:revision>
  <cp:lastPrinted>2017-12-29T19:09:00Z</cp:lastPrinted>
  <dcterms:created xsi:type="dcterms:W3CDTF">2018-01-03T17:44:00Z</dcterms:created>
  <dcterms:modified xsi:type="dcterms:W3CDTF">2018-01-03T17:44:00Z</dcterms:modified>
</cp:coreProperties>
</file>