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C4" w:rsidRPr="007E3EB9" w:rsidRDefault="008E6CC4" w:rsidP="00525904">
      <w:pPr>
        <w:rPr>
          <w:rFonts w:ascii="Arial" w:hAnsi="Arial" w:cs="Arial"/>
          <w:b/>
        </w:rPr>
      </w:pPr>
      <w:bookmarkStart w:id="0" w:name="_GoBack"/>
      <w:bookmarkEnd w:id="0"/>
      <w:r w:rsidRPr="007E3EB9">
        <w:rPr>
          <w:rFonts w:ascii="Arial" w:hAnsi="Arial" w:cs="Arial"/>
          <w:b/>
        </w:rPr>
        <w:t>Background</w:t>
      </w:r>
    </w:p>
    <w:p w:rsidR="00525904" w:rsidRPr="007E3EB9" w:rsidRDefault="00525904" w:rsidP="00525904">
      <w:pPr>
        <w:rPr>
          <w:rFonts w:ascii="Arial" w:hAnsi="Arial" w:cs="Arial"/>
        </w:rPr>
      </w:pPr>
      <w:r w:rsidRPr="007E3EB9">
        <w:rPr>
          <w:rFonts w:ascii="Arial" w:hAnsi="Arial" w:cs="Arial"/>
        </w:rPr>
        <w:t xml:space="preserve">The Long-Term Care Imperative is seeking $1,000,000 in annual funding for nursing facility exception to the moratorium projects.  By providing funding for major capital projects on an annual basis, the proposal will allow nursing facilities to continue to improve their settings. </w:t>
      </w:r>
    </w:p>
    <w:p w:rsidR="00525904" w:rsidRPr="007E3EB9" w:rsidRDefault="00525904" w:rsidP="00525904">
      <w:pPr>
        <w:rPr>
          <w:rFonts w:ascii="Arial" w:hAnsi="Arial" w:cs="Arial"/>
        </w:rPr>
      </w:pPr>
    </w:p>
    <w:p w:rsidR="00525904" w:rsidRPr="007E3EB9" w:rsidRDefault="00525904" w:rsidP="00525904">
      <w:pPr>
        <w:rPr>
          <w:rFonts w:ascii="Arial" w:hAnsi="Arial" w:cs="Arial"/>
        </w:rPr>
      </w:pPr>
      <w:r w:rsidRPr="007E3EB9">
        <w:rPr>
          <w:rFonts w:ascii="Arial" w:hAnsi="Arial" w:cs="Arial"/>
        </w:rPr>
        <w:t xml:space="preserve">In order to receive a rate increase for a project costing more than </w:t>
      </w:r>
      <w:r w:rsidR="00A21587" w:rsidRPr="00A21587">
        <w:rPr>
          <w:rFonts w:ascii="Arial" w:hAnsi="Arial" w:cs="Arial"/>
        </w:rPr>
        <w:t>$1,565,253</w:t>
      </w:r>
      <w:r w:rsidRPr="007E3EB9">
        <w:rPr>
          <w:rFonts w:ascii="Arial" w:hAnsi="Arial" w:cs="Arial"/>
        </w:rPr>
        <w:t>, nursing facilities must receive approval through the moratorium exception process.  The moratorium exception process is funded by a legislative appropriation to the Medicaid funding base.  If no appropriation is made, nursing facilities that need to significantly update or even replace their buildings to prepare to serve the growing senior population will be unable to do so.</w:t>
      </w:r>
    </w:p>
    <w:p w:rsidR="00525904" w:rsidRPr="007E3EB9" w:rsidRDefault="00525904" w:rsidP="00525904">
      <w:pPr>
        <w:rPr>
          <w:rFonts w:ascii="Arial" w:hAnsi="Arial" w:cs="Arial"/>
        </w:rPr>
      </w:pPr>
    </w:p>
    <w:p w:rsidR="00525904" w:rsidRPr="007E3EB9" w:rsidRDefault="00525904" w:rsidP="00525904">
      <w:pPr>
        <w:rPr>
          <w:rFonts w:ascii="Arial" w:hAnsi="Arial" w:cs="Arial"/>
        </w:rPr>
      </w:pPr>
      <w:r w:rsidRPr="007E3EB9">
        <w:rPr>
          <w:rFonts w:ascii="Arial" w:hAnsi="Arial" w:cs="Arial"/>
        </w:rPr>
        <w:t xml:space="preserve">Because the state need only appropriate funds to cover the state’s share of the amortized cost of the project, a relatively small appropriation generates a sizable return in construction projects.  In the last </w:t>
      </w:r>
      <w:r w:rsidR="007E3EB9" w:rsidRPr="007E3EB9">
        <w:rPr>
          <w:rFonts w:ascii="Arial" w:hAnsi="Arial" w:cs="Arial"/>
        </w:rPr>
        <w:t xml:space="preserve">large </w:t>
      </w:r>
      <w:r w:rsidRPr="007E3EB9">
        <w:rPr>
          <w:rFonts w:ascii="Arial" w:hAnsi="Arial" w:cs="Arial"/>
        </w:rPr>
        <w:t>round of the moratorium, 14 nursing facilities throughout the state had $139,361,683 in projects approved at annual cost of $1,165,268 to the state budget.   Using the same ratio, it is likely that $1,000,000 in funding will create nursing facility construction projects of $120 million.</w:t>
      </w:r>
    </w:p>
    <w:p w:rsidR="00525904" w:rsidRPr="007E3EB9" w:rsidRDefault="00525904" w:rsidP="00525904">
      <w:pPr>
        <w:rPr>
          <w:rFonts w:ascii="Arial" w:hAnsi="Arial" w:cs="Arial"/>
        </w:rPr>
      </w:pPr>
    </w:p>
    <w:p w:rsidR="00525904" w:rsidRPr="007E3EB9" w:rsidRDefault="00525904" w:rsidP="00525904">
      <w:pPr>
        <w:rPr>
          <w:rFonts w:ascii="Arial" w:hAnsi="Arial" w:cs="Arial"/>
        </w:rPr>
      </w:pPr>
      <w:r w:rsidRPr="007E3EB9">
        <w:rPr>
          <w:rFonts w:ascii="Arial" w:hAnsi="Arial" w:cs="Arial"/>
        </w:rPr>
        <w:t xml:space="preserve">Due to the failure to fund moratorium exceptions projects in the last couple of legislative sessions and the continued aging of the state’s current supply of nursing homes, we anticipate that an annual appropriation of $1 million would easily be fully utilized by nursing facilities looking to upgrade their physical environments. But, the proposal is structured so that in the event the full amount of a year's moratorium round is not spent, that the amount carried over to the next round is limited. </w:t>
      </w:r>
    </w:p>
    <w:p w:rsidR="008E6CC4" w:rsidRPr="007E3EB9" w:rsidRDefault="008E6CC4" w:rsidP="00525904">
      <w:pPr>
        <w:rPr>
          <w:rFonts w:ascii="Arial" w:hAnsi="Arial" w:cs="Arial"/>
        </w:rPr>
      </w:pPr>
    </w:p>
    <w:p w:rsidR="00525904" w:rsidRPr="007E3EB9" w:rsidRDefault="008E6CC4" w:rsidP="00525904">
      <w:pPr>
        <w:rPr>
          <w:rFonts w:ascii="Arial" w:hAnsi="Arial" w:cs="Arial"/>
          <w:b/>
        </w:rPr>
      </w:pPr>
      <w:r w:rsidRPr="007E3EB9">
        <w:rPr>
          <w:rFonts w:ascii="Arial" w:hAnsi="Arial" w:cs="Arial"/>
          <w:b/>
        </w:rPr>
        <w:t>Goals</w:t>
      </w:r>
    </w:p>
    <w:p w:rsidR="00525904" w:rsidRPr="007E3EB9" w:rsidRDefault="00525904" w:rsidP="00525904">
      <w:pPr>
        <w:rPr>
          <w:rFonts w:ascii="Arial" w:hAnsi="Arial" w:cs="Arial"/>
        </w:rPr>
      </w:pPr>
      <w:r w:rsidRPr="007E3EB9">
        <w:rPr>
          <w:rFonts w:ascii="Arial" w:hAnsi="Arial" w:cs="Arial"/>
        </w:rPr>
        <w:t>In addition to remodeling, renovation, and replacement of Minnesota’s stock of nursing facilities, the projects will also positively impact Minnesota’s economy. A $1 million investment in state dollars will yield the following direct and indirect impacts</w:t>
      </w:r>
      <w:r w:rsidRPr="007E3EB9">
        <w:rPr>
          <w:rStyle w:val="FootnoteReference"/>
          <w:rFonts w:ascii="Arial" w:hAnsi="Arial" w:cs="Arial"/>
        </w:rPr>
        <w:footnoteReference w:id="1"/>
      </w:r>
      <w:r w:rsidRPr="007E3EB9">
        <w:rPr>
          <w:rFonts w:ascii="Arial" w:hAnsi="Arial" w:cs="Arial"/>
        </w:rPr>
        <w:t>:</w:t>
      </w:r>
    </w:p>
    <w:p w:rsidR="00525904" w:rsidRPr="007E3EB9" w:rsidRDefault="00525904" w:rsidP="00525904">
      <w:pPr>
        <w:numPr>
          <w:ilvl w:val="0"/>
          <w:numId w:val="9"/>
        </w:numPr>
        <w:rPr>
          <w:rFonts w:ascii="Arial" w:hAnsi="Arial" w:cs="Arial"/>
        </w:rPr>
      </w:pPr>
      <w:r w:rsidRPr="007E3EB9">
        <w:rPr>
          <w:rFonts w:ascii="Arial" w:hAnsi="Arial" w:cs="Arial"/>
        </w:rPr>
        <w:t>1,854 new jobs</w:t>
      </w:r>
    </w:p>
    <w:p w:rsidR="00525904" w:rsidRPr="007E3EB9" w:rsidRDefault="00525904" w:rsidP="00525904">
      <w:pPr>
        <w:numPr>
          <w:ilvl w:val="0"/>
          <w:numId w:val="9"/>
        </w:numPr>
        <w:rPr>
          <w:rFonts w:ascii="Arial" w:hAnsi="Arial" w:cs="Arial"/>
        </w:rPr>
      </w:pPr>
      <w:r w:rsidRPr="007E3EB9">
        <w:rPr>
          <w:rFonts w:ascii="Arial" w:hAnsi="Arial" w:cs="Arial"/>
        </w:rPr>
        <w:t>$232 million in total economic activity</w:t>
      </w:r>
    </w:p>
    <w:p w:rsidR="00525904" w:rsidRPr="007E3EB9" w:rsidRDefault="00525904" w:rsidP="00525904">
      <w:pPr>
        <w:numPr>
          <w:ilvl w:val="0"/>
          <w:numId w:val="9"/>
        </w:numPr>
        <w:rPr>
          <w:rFonts w:ascii="Arial" w:hAnsi="Arial" w:cs="Arial"/>
        </w:rPr>
      </w:pPr>
      <w:r w:rsidRPr="007E3EB9">
        <w:rPr>
          <w:rFonts w:ascii="Arial" w:hAnsi="Arial" w:cs="Arial"/>
        </w:rPr>
        <w:t>$74 million in wages</w:t>
      </w:r>
    </w:p>
    <w:p w:rsidR="00525904" w:rsidRPr="007E3EB9" w:rsidRDefault="00525904" w:rsidP="00525904">
      <w:pPr>
        <w:numPr>
          <w:ilvl w:val="0"/>
          <w:numId w:val="9"/>
        </w:numPr>
        <w:rPr>
          <w:rFonts w:ascii="Arial" w:hAnsi="Arial" w:cs="Arial"/>
        </w:rPr>
      </w:pPr>
      <w:r w:rsidRPr="007E3EB9">
        <w:rPr>
          <w:rFonts w:ascii="Arial" w:hAnsi="Arial" w:cs="Arial"/>
        </w:rPr>
        <w:t>$6.7 million of indirect business taxes</w:t>
      </w:r>
    </w:p>
    <w:p w:rsidR="005252FD" w:rsidRPr="007E3EB9" w:rsidRDefault="005252FD" w:rsidP="00525904">
      <w:pPr>
        <w:rPr>
          <w:rFonts w:ascii="Arial" w:hAnsi="Arial" w:cs="Arial"/>
        </w:rPr>
      </w:pPr>
    </w:p>
    <w:p w:rsidR="008E6CC4" w:rsidRPr="007E3EB9" w:rsidRDefault="008E6CC4" w:rsidP="00525904">
      <w:pPr>
        <w:rPr>
          <w:rFonts w:ascii="Arial" w:hAnsi="Arial" w:cs="Arial"/>
          <w:b/>
        </w:rPr>
      </w:pPr>
    </w:p>
    <w:p w:rsidR="008E6CC4" w:rsidRPr="007E3EB9" w:rsidRDefault="008E6CC4" w:rsidP="007E3EB9">
      <w:pPr>
        <w:contextualSpacing/>
        <w:rPr>
          <w:rFonts w:ascii="Arial" w:hAnsi="Arial" w:cs="Arial"/>
          <w:b/>
        </w:rPr>
      </w:pPr>
      <w:r w:rsidRPr="007E3EB9">
        <w:rPr>
          <w:rFonts w:ascii="Arial" w:hAnsi="Arial" w:cs="Arial"/>
          <w:b/>
        </w:rPr>
        <w:t>Bill Language</w:t>
      </w:r>
    </w:p>
    <w:p w:rsidR="008E6CC4" w:rsidRPr="007E3EB9" w:rsidRDefault="008E6CC4" w:rsidP="007E3EB9">
      <w:pPr>
        <w:autoSpaceDE w:val="0"/>
        <w:autoSpaceDN w:val="0"/>
        <w:adjustRightInd w:val="0"/>
        <w:contextualSpacing/>
        <w:rPr>
          <w:rFonts w:ascii="Arial" w:hAnsi="Arial" w:cs="Arial"/>
        </w:rPr>
      </w:pPr>
      <w:r w:rsidRPr="007E3EB9">
        <w:rPr>
          <w:rFonts w:ascii="Arial" w:hAnsi="Arial" w:cs="Arial"/>
        </w:rPr>
        <w:t>Sec. xxx. Minnesota Statutes 2014, section 144A.073, is amended by adding a</w:t>
      </w:r>
    </w:p>
    <w:p w:rsidR="008E6CC4" w:rsidRPr="007E3EB9" w:rsidRDefault="008E6CC4" w:rsidP="007E3EB9">
      <w:pPr>
        <w:autoSpaceDE w:val="0"/>
        <w:autoSpaceDN w:val="0"/>
        <w:adjustRightInd w:val="0"/>
        <w:contextualSpacing/>
        <w:rPr>
          <w:rFonts w:ascii="Arial" w:hAnsi="Arial" w:cs="Arial"/>
        </w:rPr>
      </w:pPr>
      <w:r w:rsidRPr="007E3EB9">
        <w:rPr>
          <w:rFonts w:ascii="Arial" w:hAnsi="Arial" w:cs="Arial"/>
        </w:rPr>
        <w:t>subdivision to read:</w:t>
      </w:r>
    </w:p>
    <w:p w:rsidR="008E6CC4" w:rsidRPr="007E3EB9" w:rsidRDefault="007E3EB9" w:rsidP="007E3EB9">
      <w:pPr>
        <w:kinsoku w:val="0"/>
        <w:overflowPunct w:val="0"/>
        <w:autoSpaceDE w:val="0"/>
        <w:autoSpaceDN w:val="0"/>
        <w:adjustRightInd w:val="0"/>
        <w:ind w:firstLine="597"/>
        <w:contextualSpacing/>
        <w:rPr>
          <w:rFonts w:ascii="Arial" w:eastAsiaTheme="minorHAnsi" w:hAnsi="Arial" w:cs="Arial"/>
        </w:rPr>
      </w:pPr>
      <w:r w:rsidRPr="007E3EB9">
        <w:rPr>
          <w:rFonts w:ascii="Arial" w:eastAsiaTheme="minorHAnsi" w:hAnsi="Arial" w:cs="Arial"/>
          <w:u w:val="single"/>
        </w:rPr>
        <w:t>Subd.</w:t>
      </w:r>
      <w:r w:rsidRPr="007E3EB9">
        <w:rPr>
          <w:rFonts w:ascii="Arial" w:eastAsiaTheme="minorHAnsi" w:hAnsi="Arial" w:cs="Arial"/>
          <w:spacing w:val="16"/>
          <w:u w:val="single"/>
        </w:rPr>
        <w:t xml:space="preserve"> </w:t>
      </w:r>
      <w:r w:rsidRPr="007E3EB9">
        <w:rPr>
          <w:rFonts w:ascii="Arial" w:eastAsiaTheme="minorHAnsi" w:hAnsi="Arial" w:cs="Arial"/>
          <w:u w:val="single"/>
        </w:rPr>
        <w:t>15.</w:t>
      </w:r>
      <w:r w:rsidRPr="007E3EB9">
        <w:rPr>
          <w:rFonts w:ascii="Arial" w:eastAsiaTheme="minorHAnsi" w:hAnsi="Arial" w:cs="Arial"/>
          <w:spacing w:val="16"/>
          <w:u w:val="single"/>
        </w:rPr>
        <w:t xml:space="preserve"> </w:t>
      </w:r>
      <w:r w:rsidRPr="007E3EB9">
        <w:rPr>
          <w:rFonts w:ascii="Arial" w:eastAsiaTheme="minorHAnsi" w:hAnsi="Arial" w:cs="Arial"/>
          <w:b/>
          <w:bCs/>
          <w:u w:val="single"/>
        </w:rPr>
        <w:t>Moratorium</w:t>
      </w:r>
      <w:r w:rsidRPr="007E3EB9">
        <w:rPr>
          <w:rFonts w:ascii="Arial" w:eastAsiaTheme="minorHAnsi" w:hAnsi="Arial" w:cs="Arial"/>
          <w:b/>
          <w:bCs/>
          <w:spacing w:val="-6"/>
          <w:u w:val="single"/>
        </w:rPr>
        <w:t xml:space="preserve"> </w:t>
      </w:r>
      <w:r w:rsidRPr="007E3EB9">
        <w:rPr>
          <w:rFonts w:ascii="Arial" w:eastAsiaTheme="minorHAnsi" w:hAnsi="Arial" w:cs="Arial"/>
          <w:b/>
          <w:bCs/>
          <w:u w:val="single"/>
        </w:rPr>
        <w:t>exception</w:t>
      </w:r>
      <w:r w:rsidRPr="007E3EB9">
        <w:rPr>
          <w:rFonts w:ascii="Arial" w:eastAsiaTheme="minorHAnsi" w:hAnsi="Arial" w:cs="Arial"/>
          <w:b/>
          <w:bCs/>
          <w:spacing w:val="-7"/>
          <w:u w:val="single"/>
        </w:rPr>
        <w:t xml:space="preserve"> </w:t>
      </w:r>
      <w:r w:rsidRPr="007E3EB9">
        <w:rPr>
          <w:rFonts w:ascii="Arial" w:eastAsiaTheme="minorHAnsi" w:hAnsi="Arial" w:cs="Arial"/>
          <w:b/>
          <w:bCs/>
          <w:u w:val="single"/>
        </w:rPr>
        <w:t>funding.</w:t>
      </w:r>
      <w:r w:rsidRPr="007E3EB9">
        <w:rPr>
          <w:rFonts w:ascii="Arial" w:eastAsiaTheme="minorHAnsi" w:hAnsi="Arial" w:cs="Arial"/>
          <w:b/>
          <w:bCs/>
          <w:spacing w:val="17"/>
          <w:u w:val="single"/>
        </w:rPr>
        <w:t xml:space="preserve"> </w:t>
      </w:r>
      <w:r w:rsidRPr="007E3EB9">
        <w:rPr>
          <w:rFonts w:ascii="Arial" w:eastAsiaTheme="minorHAnsi" w:hAnsi="Arial" w:cs="Arial"/>
          <w:u w:val="single"/>
        </w:rPr>
        <w:t>In</w:t>
      </w:r>
      <w:r w:rsidRPr="007E3EB9">
        <w:rPr>
          <w:rFonts w:ascii="Arial" w:eastAsiaTheme="minorHAnsi" w:hAnsi="Arial" w:cs="Arial"/>
          <w:spacing w:val="-7"/>
          <w:u w:val="single"/>
        </w:rPr>
        <w:t xml:space="preserve"> </w:t>
      </w:r>
      <w:r w:rsidRPr="007E3EB9">
        <w:rPr>
          <w:rFonts w:ascii="Arial" w:eastAsiaTheme="minorHAnsi" w:hAnsi="Arial" w:cs="Arial"/>
          <w:u w:val="single"/>
        </w:rPr>
        <w:t>fiscal</w:t>
      </w:r>
      <w:r w:rsidRPr="007E3EB9">
        <w:rPr>
          <w:rFonts w:ascii="Arial" w:eastAsiaTheme="minorHAnsi" w:hAnsi="Arial" w:cs="Arial"/>
          <w:spacing w:val="-7"/>
          <w:u w:val="single"/>
        </w:rPr>
        <w:t xml:space="preserve"> </w:t>
      </w:r>
      <w:r w:rsidRPr="007E3EB9">
        <w:rPr>
          <w:rFonts w:ascii="Arial" w:eastAsiaTheme="minorHAnsi" w:hAnsi="Arial" w:cs="Arial"/>
          <w:u w:val="single"/>
        </w:rPr>
        <w:t>year</w:t>
      </w:r>
      <w:r w:rsidRPr="007E3EB9">
        <w:rPr>
          <w:rFonts w:ascii="Arial" w:eastAsiaTheme="minorHAnsi" w:hAnsi="Arial" w:cs="Arial"/>
          <w:spacing w:val="-6"/>
          <w:u w:val="single"/>
        </w:rPr>
        <w:t xml:space="preserve"> </w:t>
      </w:r>
      <w:r w:rsidRPr="007E3EB9">
        <w:rPr>
          <w:rFonts w:ascii="Arial" w:eastAsiaTheme="minorHAnsi" w:hAnsi="Arial" w:cs="Arial"/>
          <w:u w:val="single"/>
        </w:rPr>
        <w:t>2017,</w:t>
      </w:r>
      <w:r w:rsidRPr="007E3EB9">
        <w:rPr>
          <w:rFonts w:ascii="Arial" w:eastAsiaTheme="minorHAnsi" w:hAnsi="Arial" w:cs="Arial"/>
          <w:spacing w:val="-7"/>
          <w:u w:val="single"/>
        </w:rPr>
        <w:t xml:space="preserve"> </w:t>
      </w:r>
      <w:r w:rsidRPr="007E3EB9">
        <w:rPr>
          <w:rFonts w:ascii="Arial" w:eastAsiaTheme="minorHAnsi" w:hAnsi="Arial" w:cs="Arial"/>
          <w:u w:val="single"/>
        </w:rPr>
        <w:t>the</w:t>
      </w:r>
      <w:r w:rsidRPr="007E3EB9">
        <w:rPr>
          <w:rFonts w:ascii="Arial" w:eastAsiaTheme="minorHAnsi" w:hAnsi="Arial" w:cs="Arial"/>
          <w:spacing w:val="-7"/>
          <w:u w:val="single"/>
        </w:rPr>
        <w:t xml:space="preserve"> </w:t>
      </w:r>
      <w:r w:rsidRPr="007E3EB9">
        <w:rPr>
          <w:rFonts w:ascii="Arial" w:eastAsiaTheme="minorHAnsi" w:hAnsi="Arial" w:cs="Arial"/>
          <w:u w:val="single"/>
        </w:rPr>
        <w:t>commissioner</w:t>
      </w:r>
      <w:r w:rsidRPr="007E3EB9">
        <w:rPr>
          <w:rFonts w:ascii="Arial" w:eastAsiaTheme="minorHAnsi" w:hAnsi="Arial" w:cs="Arial"/>
          <w:w w:val="99"/>
        </w:rPr>
        <w:t xml:space="preserve"> </w:t>
      </w:r>
      <w:r w:rsidRPr="007E3EB9">
        <w:rPr>
          <w:rFonts w:ascii="Arial" w:eastAsiaTheme="minorHAnsi" w:hAnsi="Arial" w:cs="Arial"/>
          <w:u w:val="single"/>
        </w:rPr>
        <w:t>may</w:t>
      </w:r>
      <w:r w:rsidRPr="007E3EB9">
        <w:rPr>
          <w:rFonts w:ascii="Arial" w:eastAsiaTheme="minorHAnsi" w:hAnsi="Arial" w:cs="Arial"/>
          <w:spacing w:val="4"/>
          <w:u w:val="single"/>
        </w:rPr>
        <w:t xml:space="preserve"> </w:t>
      </w:r>
      <w:r w:rsidRPr="007E3EB9">
        <w:rPr>
          <w:rFonts w:ascii="Arial" w:eastAsiaTheme="minorHAnsi" w:hAnsi="Arial" w:cs="Arial"/>
          <w:u w:val="single"/>
        </w:rPr>
        <w:t>approve</w:t>
      </w:r>
      <w:r w:rsidRPr="007E3EB9">
        <w:rPr>
          <w:rFonts w:ascii="Arial" w:eastAsiaTheme="minorHAnsi" w:hAnsi="Arial" w:cs="Arial"/>
          <w:spacing w:val="4"/>
          <w:u w:val="single"/>
        </w:rPr>
        <w:t xml:space="preserve"> </w:t>
      </w:r>
      <w:r w:rsidRPr="007E3EB9">
        <w:rPr>
          <w:rFonts w:ascii="Arial" w:eastAsiaTheme="minorHAnsi" w:hAnsi="Arial" w:cs="Arial"/>
          <w:u w:val="single"/>
        </w:rPr>
        <w:t>moratorium</w:t>
      </w:r>
      <w:r w:rsidRPr="007E3EB9">
        <w:rPr>
          <w:rFonts w:ascii="Arial" w:eastAsiaTheme="minorHAnsi" w:hAnsi="Arial" w:cs="Arial"/>
          <w:spacing w:val="5"/>
          <w:u w:val="single"/>
        </w:rPr>
        <w:t xml:space="preserve"> </w:t>
      </w:r>
      <w:r w:rsidRPr="007E3EB9">
        <w:rPr>
          <w:rFonts w:ascii="Arial" w:eastAsiaTheme="minorHAnsi" w:hAnsi="Arial" w:cs="Arial"/>
          <w:u w:val="single"/>
        </w:rPr>
        <w:t>exception</w:t>
      </w:r>
      <w:r w:rsidRPr="007E3EB9">
        <w:rPr>
          <w:rFonts w:ascii="Arial" w:eastAsiaTheme="minorHAnsi" w:hAnsi="Arial" w:cs="Arial"/>
          <w:spacing w:val="4"/>
          <w:u w:val="single"/>
        </w:rPr>
        <w:t xml:space="preserve"> </w:t>
      </w:r>
      <w:r w:rsidRPr="007E3EB9">
        <w:rPr>
          <w:rFonts w:ascii="Arial" w:eastAsiaTheme="minorHAnsi" w:hAnsi="Arial" w:cs="Arial"/>
          <w:u w:val="single"/>
        </w:rPr>
        <w:t>projects</w:t>
      </w:r>
      <w:r w:rsidRPr="007E3EB9">
        <w:rPr>
          <w:rFonts w:ascii="Arial" w:eastAsiaTheme="minorHAnsi" w:hAnsi="Arial" w:cs="Arial"/>
          <w:spacing w:val="4"/>
          <w:u w:val="single"/>
        </w:rPr>
        <w:t xml:space="preserve"> </w:t>
      </w:r>
      <w:r w:rsidRPr="007E3EB9">
        <w:rPr>
          <w:rFonts w:ascii="Arial" w:eastAsiaTheme="minorHAnsi" w:hAnsi="Arial" w:cs="Arial"/>
          <w:u w:val="single"/>
        </w:rPr>
        <w:t>under</w:t>
      </w:r>
      <w:r w:rsidRPr="007E3EB9">
        <w:rPr>
          <w:rFonts w:ascii="Arial" w:eastAsiaTheme="minorHAnsi" w:hAnsi="Arial" w:cs="Arial"/>
          <w:spacing w:val="5"/>
          <w:u w:val="single"/>
        </w:rPr>
        <w:t xml:space="preserve"> </w:t>
      </w:r>
      <w:r w:rsidRPr="007E3EB9">
        <w:rPr>
          <w:rFonts w:ascii="Arial" w:eastAsiaTheme="minorHAnsi" w:hAnsi="Arial" w:cs="Arial"/>
          <w:u w:val="single"/>
        </w:rPr>
        <w:t>this</w:t>
      </w:r>
      <w:r w:rsidRPr="007E3EB9">
        <w:rPr>
          <w:rFonts w:ascii="Arial" w:eastAsiaTheme="minorHAnsi" w:hAnsi="Arial" w:cs="Arial"/>
          <w:spacing w:val="4"/>
          <w:u w:val="single"/>
        </w:rPr>
        <w:t xml:space="preserve"> </w:t>
      </w:r>
      <w:r w:rsidRPr="007E3EB9">
        <w:rPr>
          <w:rFonts w:ascii="Arial" w:eastAsiaTheme="minorHAnsi" w:hAnsi="Arial" w:cs="Arial"/>
          <w:u w:val="single"/>
        </w:rPr>
        <w:t>section</w:t>
      </w:r>
      <w:r w:rsidRPr="007E3EB9">
        <w:rPr>
          <w:rFonts w:ascii="Arial" w:eastAsiaTheme="minorHAnsi" w:hAnsi="Arial" w:cs="Arial"/>
          <w:spacing w:val="5"/>
          <w:u w:val="single"/>
        </w:rPr>
        <w:t xml:space="preserve"> </w:t>
      </w:r>
      <w:r w:rsidRPr="007E3EB9">
        <w:rPr>
          <w:rFonts w:ascii="Arial" w:eastAsiaTheme="minorHAnsi" w:hAnsi="Arial" w:cs="Arial"/>
          <w:u w:val="single"/>
        </w:rPr>
        <w:t>for</w:t>
      </w:r>
      <w:r w:rsidRPr="007E3EB9">
        <w:rPr>
          <w:rFonts w:ascii="Arial" w:eastAsiaTheme="minorHAnsi" w:hAnsi="Arial" w:cs="Arial"/>
          <w:spacing w:val="4"/>
          <w:u w:val="single"/>
        </w:rPr>
        <w:t xml:space="preserve"> </w:t>
      </w:r>
      <w:r w:rsidRPr="007E3EB9">
        <w:rPr>
          <w:rFonts w:ascii="Arial" w:eastAsiaTheme="minorHAnsi" w:hAnsi="Arial" w:cs="Arial"/>
          <w:u w:val="single"/>
        </w:rPr>
        <w:t>which</w:t>
      </w:r>
      <w:r w:rsidRPr="007E3EB9">
        <w:rPr>
          <w:rFonts w:ascii="Arial" w:eastAsiaTheme="minorHAnsi" w:hAnsi="Arial" w:cs="Arial"/>
          <w:spacing w:val="4"/>
          <w:u w:val="single"/>
        </w:rPr>
        <w:t xml:space="preserve"> </w:t>
      </w:r>
      <w:r w:rsidRPr="007E3EB9">
        <w:rPr>
          <w:rFonts w:ascii="Arial" w:eastAsiaTheme="minorHAnsi" w:hAnsi="Arial" w:cs="Arial"/>
          <w:u w:val="single"/>
        </w:rPr>
        <w:t>the</w:t>
      </w:r>
      <w:r w:rsidRPr="007E3EB9">
        <w:rPr>
          <w:rFonts w:ascii="Arial" w:eastAsiaTheme="minorHAnsi" w:hAnsi="Arial" w:cs="Arial"/>
          <w:spacing w:val="5"/>
          <w:u w:val="single"/>
        </w:rPr>
        <w:t xml:space="preserve"> </w:t>
      </w:r>
      <w:r w:rsidRPr="007E3EB9">
        <w:rPr>
          <w:rFonts w:ascii="Arial" w:eastAsiaTheme="minorHAnsi" w:hAnsi="Arial" w:cs="Arial"/>
          <w:u w:val="single"/>
        </w:rPr>
        <w:t>full</w:t>
      </w:r>
      <w:r w:rsidRPr="007E3EB9">
        <w:rPr>
          <w:rFonts w:ascii="Arial" w:eastAsiaTheme="minorHAnsi" w:hAnsi="Arial" w:cs="Arial"/>
          <w:w w:val="99"/>
        </w:rPr>
        <w:t xml:space="preserve"> </w:t>
      </w:r>
      <w:r w:rsidRPr="007E3EB9">
        <w:rPr>
          <w:rFonts w:ascii="Arial" w:eastAsiaTheme="minorHAnsi" w:hAnsi="Arial" w:cs="Arial"/>
          <w:u w:val="single"/>
        </w:rPr>
        <w:t>annualized</w:t>
      </w:r>
      <w:r w:rsidRPr="007E3EB9">
        <w:rPr>
          <w:rFonts w:ascii="Arial" w:eastAsiaTheme="minorHAnsi" w:hAnsi="Arial" w:cs="Arial"/>
          <w:spacing w:val="-8"/>
          <w:u w:val="single"/>
        </w:rPr>
        <w:t xml:space="preserve"> </w:t>
      </w:r>
      <w:r w:rsidRPr="007E3EB9">
        <w:rPr>
          <w:rFonts w:ascii="Arial" w:eastAsiaTheme="minorHAnsi" w:hAnsi="Arial" w:cs="Arial"/>
          <w:u w:val="single"/>
        </w:rPr>
        <w:t>state</w:t>
      </w:r>
      <w:r w:rsidRPr="007E3EB9">
        <w:rPr>
          <w:rFonts w:ascii="Arial" w:eastAsiaTheme="minorHAnsi" w:hAnsi="Arial" w:cs="Arial"/>
          <w:spacing w:val="-7"/>
          <w:u w:val="single"/>
        </w:rPr>
        <w:t xml:space="preserve"> </w:t>
      </w:r>
      <w:r w:rsidRPr="007E3EB9">
        <w:rPr>
          <w:rFonts w:ascii="Arial" w:eastAsiaTheme="minorHAnsi" w:hAnsi="Arial" w:cs="Arial"/>
          <w:u w:val="single"/>
        </w:rPr>
        <w:t>share</w:t>
      </w:r>
      <w:r w:rsidRPr="007E3EB9">
        <w:rPr>
          <w:rFonts w:ascii="Arial" w:eastAsiaTheme="minorHAnsi" w:hAnsi="Arial" w:cs="Arial"/>
          <w:spacing w:val="-7"/>
          <w:u w:val="single"/>
        </w:rPr>
        <w:t xml:space="preserve"> </w:t>
      </w:r>
      <w:r w:rsidRPr="007E3EB9">
        <w:rPr>
          <w:rFonts w:ascii="Arial" w:eastAsiaTheme="minorHAnsi" w:hAnsi="Arial" w:cs="Arial"/>
          <w:u w:val="single"/>
        </w:rPr>
        <w:t>of</w:t>
      </w:r>
      <w:r w:rsidRPr="007E3EB9">
        <w:rPr>
          <w:rFonts w:ascii="Arial" w:eastAsiaTheme="minorHAnsi" w:hAnsi="Arial" w:cs="Arial"/>
          <w:spacing w:val="-7"/>
          <w:u w:val="single"/>
        </w:rPr>
        <w:t xml:space="preserve"> </w:t>
      </w:r>
      <w:r w:rsidRPr="007E3EB9">
        <w:rPr>
          <w:rFonts w:ascii="Arial" w:eastAsiaTheme="minorHAnsi" w:hAnsi="Arial" w:cs="Arial"/>
          <w:u w:val="single"/>
        </w:rPr>
        <w:t>medical</w:t>
      </w:r>
      <w:r w:rsidRPr="007E3EB9">
        <w:rPr>
          <w:rFonts w:ascii="Arial" w:eastAsiaTheme="minorHAnsi" w:hAnsi="Arial" w:cs="Arial"/>
          <w:spacing w:val="-7"/>
          <w:u w:val="single"/>
        </w:rPr>
        <w:t xml:space="preserve"> </w:t>
      </w:r>
      <w:r w:rsidRPr="007E3EB9">
        <w:rPr>
          <w:rFonts w:ascii="Arial" w:eastAsiaTheme="minorHAnsi" w:hAnsi="Arial" w:cs="Arial"/>
          <w:u w:val="single"/>
        </w:rPr>
        <w:t>assistance</w:t>
      </w:r>
      <w:r w:rsidRPr="007E3EB9">
        <w:rPr>
          <w:rFonts w:ascii="Arial" w:eastAsiaTheme="minorHAnsi" w:hAnsi="Arial" w:cs="Arial"/>
          <w:spacing w:val="-7"/>
          <w:u w:val="single"/>
        </w:rPr>
        <w:t xml:space="preserve"> </w:t>
      </w:r>
      <w:r w:rsidRPr="007E3EB9">
        <w:rPr>
          <w:rFonts w:ascii="Arial" w:eastAsiaTheme="minorHAnsi" w:hAnsi="Arial" w:cs="Arial"/>
          <w:u w:val="single"/>
        </w:rPr>
        <w:t>costs</w:t>
      </w:r>
      <w:r w:rsidRPr="007E3EB9">
        <w:rPr>
          <w:rFonts w:ascii="Arial" w:eastAsiaTheme="minorHAnsi" w:hAnsi="Arial" w:cs="Arial"/>
          <w:spacing w:val="-8"/>
          <w:u w:val="single"/>
        </w:rPr>
        <w:t xml:space="preserve"> </w:t>
      </w:r>
      <w:r w:rsidRPr="007E3EB9">
        <w:rPr>
          <w:rFonts w:ascii="Arial" w:eastAsiaTheme="minorHAnsi" w:hAnsi="Arial" w:cs="Arial"/>
          <w:u w:val="single"/>
        </w:rPr>
        <w:t>does</w:t>
      </w:r>
      <w:r w:rsidRPr="007E3EB9">
        <w:rPr>
          <w:rFonts w:ascii="Arial" w:eastAsiaTheme="minorHAnsi" w:hAnsi="Arial" w:cs="Arial"/>
          <w:spacing w:val="-7"/>
          <w:u w:val="single"/>
        </w:rPr>
        <w:t xml:space="preserve"> </w:t>
      </w:r>
      <w:r w:rsidRPr="007E3EB9">
        <w:rPr>
          <w:rFonts w:ascii="Arial" w:eastAsiaTheme="minorHAnsi" w:hAnsi="Arial" w:cs="Arial"/>
          <w:u w:val="single"/>
        </w:rPr>
        <w:t>not</w:t>
      </w:r>
      <w:r w:rsidRPr="007E3EB9">
        <w:rPr>
          <w:rFonts w:ascii="Arial" w:eastAsiaTheme="minorHAnsi" w:hAnsi="Arial" w:cs="Arial"/>
          <w:spacing w:val="-7"/>
          <w:u w:val="single"/>
        </w:rPr>
        <w:t xml:space="preserve"> </w:t>
      </w:r>
      <w:r w:rsidRPr="007E3EB9">
        <w:rPr>
          <w:rFonts w:ascii="Arial" w:eastAsiaTheme="minorHAnsi" w:hAnsi="Arial" w:cs="Arial"/>
          <w:u w:val="single"/>
        </w:rPr>
        <w:t>exceed</w:t>
      </w:r>
      <w:r w:rsidRPr="007E3EB9">
        <w:rPr>
          <w:rFonts w:ascii="Arial" w:eastAsiaTheme="minorHAnsi" w:hAnsi="Arial" w:cs="Arial"/>
          <w:spacing w:val="-7"/>
          <w:u w:val="single"/>
        </w:rPr>
        <w:t xml:space="preserve"> </w:t>
      </w:r>
      <w:r w:rsidRPr="007E3EB9">
        <w:rPr>
          <w:rFonts w:ascii="Arial" w:eastAsiaTheme="minorHAnsi" w:hAnsi="Arial" w:cs="Arial"/>
          <w:u w:val="single"/>
        </w:rPr>
        <w:t>$1,000,000</w:t>
      </w:r>
    </w:p>
    <w:sectPr w:rsidR="008E6CC4" w:rsidRPr="007E3EB9" w:rsidSect="00AF3223">
      <w:headerReference w:type="default" r:id="rId8"/>
      <w:footerReference w:type="default" r:id="rId9"/>
      <w:pgSz w:w="12240" w:h="15840"/>
      <w:pgMar w:top="1440" w:right="1440" w:bottom="900" w:left="1440" w:header="274" w:footer="5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DB7" w:rsidRDefault="00173DB7" w:rsidP="00173DB7">
      <w:r>
        <w:separator/>
      </w:r>
    </w:p>
  </w:endnote>
  <w:endnote w:type="continuationSeparator" w:id="0">
    <w:p w:rsidR="00173DB7" w:rsidRDefault="00173DB7" w:rsidP="0017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23" w:rsidRDefault="00AF3223" w:rsidP="00AF3223">
    <w:pPr>
      <w:pStyle w:val="Footer"/>
      <w:tabs>
        <w:tab w:val="clear" w:pos="4680"/>
        <w:tab w:val="clear" w:pos="9360"/>
        <w:tab w:val="left" w:pos="12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DB7" w:rsidRDefault="00173DB7" w:rsidP="00173DB7">
      <w:r>
        <w:separator/>
      </w:r>
    </w:p>
  </w:footnote>
  <w:footnote w:type="continuationSeparator" w:id="0">
    <w:p w:rsidR="00173DB7" w:rsidRDefault="00173DB7" w:rsidP="00173DB7">
      <w:r>
        <w:continuationSeparator/>
      </w:r>
    </w:p>
  </w:footnote>
  <w:footnote w:id="1">
    <w:p w:rsidR="00525904" w:rsidRPr="007E3EB9" w:rsidRDefault="00525904" w:rsidP="00525904">
      <w:pPr>
        <w:pStyle w:val="FootnoteText"/>
        <w:rPr>
          <w:rFonts w:ascii="Arial" w:hAnsi="Arial" w:cs="Arial"/>
        </w:rPr>
      </w:pPr>
      <w:r w:rsidRPr="007E3EB9">
        <w:rPr>
          <w:rStyle w:val="FootnoteReference"/>
          <w:rFonts w:ascii="Arial" w:hAnsi="Arial" w:cs="Arial"/>
        </w:rPr>
        <w:footnoteRef/>
      </w:r>
      <w:r w:rsidRPr="007E3EB9">
        <w:rPr>
          <w:rFonts w:ascii="Arial" w:hAnsi="Arial" w:cs="Arial"/>
        </w:rPr>
        <w:t xml:space="preserve"> Gross Economic Impacts</w:t>
      </w:r>
      <w:r w:rsidRPr="007E3EB9">
        <w:rPr>
          <w:rFonts w:ascii="Arial" w:hAnsi="Arial" w:cs="Arial"/>
          <w:vertAlign w:val="superscript"/>
        </w:rPr>
        <w:t xml:space="preserve"> </w:t>
      </w:r>
      <w:r w:rsidRPr="007E3EB9">
        <w:rPr>
          <w:rFonts w:ascii="Arial" w:hAnsi="Arial" w:cs="Arial"/>
        </w:rPr>
        <w:t xml:space="preserve">on the State of </w:t>
      </w:r>
      <w:smartTag w:uri="urn:schemas-microsoft-com:office:smarttags" w:element="place">
        <w:smartTag w:uri="urn:schemas-microsoft-com:office:smarttags" w:element="State">
          <w:r w:rsidRPr="007E3EB9">
            <w:rPr>
              <w:rFonts w:ascii="Arial" w:hAnsi="Arial" w:cs="Arial"/>
            </w:rPr>
            <w:t>Minnesota</w:t>
          </w:r>
        </w:smartTag>
      </w:smartTag>
      <w:r w:rsidRPr="007E3EB9">
        <w:rPr>
          <w:rFonts w:ascii="Arial" w:hAnsi="Arial" w:cs="Arial"/>
        </w:rPr>
        <w:t xml:space="preserve"> was prepared for The Long-Term Care Imperative by ECONorthwest using data from IMPLAN.  IMPLAN Professional Version 2.0, </w:t>
      </w:r>
      <w:r w:rsidRPr="007E3EB9">
        <w:rPr>
          <w:rFonts w:ascii="Arial" w:hAnsi="Arial" w:cs="Arial"/>
          <w:bCs/>
          <w:iCs/>
          <w:color w:val="000002"/>
        </w:rPr>
        <w:t>User Guide, Analysis Guide, Data Guide</w:t>
      </w:r>
      <w:r w:rsidRPr="007E3EB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780"/>
    </w:tblGrid>
    <w:tr w:rsidR="00173DB7" w:rsidTr="0019270C">
      <w:trPr>
        <w:trHeight w:val="1066"/>
      </w:trPr>
      <w:tc>
        <w:tcPr>
          <w:tcW w:w="5755" w:type="dxa"/>
        </w:tcPr>
        <w:p w:rsidR="00173DB7" w:rsidRPr="007E3EB9" w:rsidRDefault="00525904" w:rsidP="007E3EB9">
          <w:pPr>
            <w:pStyle w:val="Header"/>
            <w:rPr>
              <w:rFonts w:ascii="Arial" w:hAnsi="Arial" w:cs="Arial"/>
              <w:sz w:val="32"/>
              <w:szCs w:val="32"/>
            </w:rPr>
          </w:pPr>
          <w:r w:rsidRPr="007E3EB9">
            <w:rPr>
              <w:rFonts w:ascii="Arial" w:hAnsi="Arial" w:cs="Arial"/>
              <w:b/>
              <w:sz w:val="28"/>
              <w:szCs w:val="28"/>
            </w:rPr>
            <w:t xml:space="preserve">Investing in the Nursing Facility Moratorium </w:t>
          </w:r>
          <w:r w:rsidR="007E3EB9" w:rsidRPr="007E3EB9">
            <w:rPr>
              <w:rFonts w:ascii="Arial" w:hAnsi="Arial" w:cs="Arial"/>
              <w:b/>
              <w:sz w:val="28"/>
              <w:szCs w:val="28"/>
            </w:rPr>
            <w:t>March 2016</w:t>
          </w:r>
        </w:p>
      </w:tc>
      <w:tc>
        <w:tcPr>
          <w:tcW w:w="3780" w:type="dxa"/>
        </w:tcPr>
        <w:p w:rsidR="00173DB7" w:rsidRDefault="00173DB7" w:rsidP="00173DB7">
          <w:pPr>
            <w:pStyle w:val="Header"/>
            <w:jc w:val="center"/>
          </w:pPr>
          <w:r>
            <w:rPr>
              <w:noProof/>
            </w:rPr>
            <w:drawing>
              <wp:inline distT="0" distB="0" distL="0" distR="0">
                <wp:extent cx="1618488" cy="612648"/>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ative small.jpg"/>
                        <pic:cNvPicPr/>
                      </pic:nvPicPr>
                      <pic:blipFill>
                        <a:blip r:embed="rId1">
                          <a:extLst>
                            <a:ext uri="{28A0092B-C50C-407E-A947-70E740481C1C}">
                              <a14:useLocalDpi xmlns:a14="http://schemas.microsoft.com/office/drawing/2010/main" val="0"/>
                            </a:ext>
                          </a:extLst>
                        </a:blip>
                        <a:stretch>
                          <a:fillRect/>
                        </a:stretch>
                      </pic:blipFill>
                      <pic:spPr>
                        <a:xfrm>
                          <a:off x="0" y="0"/>
                          <a:ext cx="1618488" cy="612648"/>
                        </a:xfrm>
                        <a:prstGeom prst="rect">
                          <a:avLst/>
                        </a:prstGeom>
                      </pic:spPr>
                    </pic:pic>
                  </a:graphicData>
                </a:graphic>
              </wp:inline>
            </w:drawing>
          </w:r>
        </w:p>
      </w:tc>
    </w:tr>
  </w:tbl>
  <w:p w:rsidR="00173DB7" w:rsidRDefault="0017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3369"/>
    <w:multiLevelType w:val="hybridMultilevel"/>
    <w:tmpl w:val="0A2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222FF"/>
    <w:multiLevelType w:val="hybridMultilevel"/>
    <w:tmpl w:val="B63CA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D0FDD"/>
    <w:multiLevelType w:val="hybridMultilevel"/>
    <w:tmpl w:val="8E9A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37C34"/>
    <w:multiLevelType w:val="hybridMultilevel"/>
    <w:tmpl w:val="55C8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17902"/>
    <w:multiLevelType w:val="hybridMultilevel"/>
    <w:tmpl w:val="1C8A5D8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C671D51"/>
    <w:multiLevelType w:val="hybridMultilevel"/>
    <w:tmpl w:val="D9D8B8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0BB7FAC"/>
    <w:multiLevelType w:val="hybridMultilevel"/>
    <w:tmpl w:val="CF745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D73D2"/>
    <w:multiLevelType w:val="hybridMultilevel"/>
    <w:tmpl w:val="F9BA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77D51"/>
    <w:multiLevelType w:val="hybridMultilevel"/>
    <w:tmpl w:val="C05A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0"/>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3B"/>
    <w:rsid w:val="0002515B"/>
    <w:rsid w:val="000300E3"/>
    <w:rsid w:val="00034CF6"/>
    <w:rsid w:val="000354FA"/>
    <w:rsid w:val="00041EBF"/>
    <w:rsid w:val="00042335"/>
    <w:rsid w:val="000460AA"/>
    <w:rsid w:val="00047361"/>
    <w:rsid w:val="00054C01"/>
    <w:rsid w:val="00064004"/>
    <w:rsid w:val="00064C77"/>
    <w:rsid w:val="000715BB"/>
    <w:rsid w:val="00074342"/>
    <w:rsid w:val="00084112"/>
    <w:rsid w:val="00085C74"/>
    <w:rsid w:val="00095358"/>
    <w:rsid w:val="00096062"/>
    <w:rsid w:val="000B7B85"/>
    <w:rsid w:val="000C0281"/>
    <w:rsid w:val="000C61EB"/>
    <w:rsid w:val="000C6EBB"/>
    <w:rsid w:val="000C7A52"/>
    <w:rsid w:val="000D1227"/>
    <w:rsid w:val="000D35DA"/>
    <w:rsid w:val="001373DB"/>
    <w:rsid w:val="00141CF0"/>
    <w:rsid w:val="001436FF"/>
    <w:rsid w:val="00145235"/>
    <w:rsid w:val="00170C54"/>
    <w:rsid w:val="001722C4"/>
    <w:rsid w:val="001723DA"/>
    <w:rsid w:val="00173DB7"/>
    <w:rsid w:val="00181B0F"/>
    <w:rsid w:val="001835B9"/>
    <w:rsid w:val="0019270C"/>
    <w:rsid w:val="001952EB"/>
    <w:rsid w:val="001A0057"/>
    <w:rsid w:val="001A0CA7"/>
    <w:rsid w:val="001B6920"/>
    <w:rsid w:val="001C3E54"/>
    <w:rsid w:val="001D51A9"/>
    <w:rsid w:val="001F1DA5"/>
    <w:rsid w:val="001F6351"/>
    <w:rsid w:val="00200C0D"/>
    <w:rsid w:val="00204A17"/>
    <w:rsid w:val="0020696A"/>
    <w:rsid w:val="002139AC"/>
    <w:rsid w:val="002212E2"/>
    <w:rsid w:val="002472FD"/>
    <w:rsid w:val="00251396"/>
    <w:rsid w:val="00252031"/>
    <w:rsid w:val="00255D73"/>
    <w:rsid w:val="0026066F"/>
    <w:rsid w:val="00294575"/>
    <w:rsid w:val="00297B1D"/>
    <w:rsid w:val="002A3E17"/>
    <w:rsid w:val="002A72FA"/>
    <w:rsid w:val="002B3C02"/>
    <w:rsid w:val="002C064C"/>
    <w:rsid w:val="002C46A1"/>
    <w:rsid w:val="002C4D0D"/>
    <w:rsid w:val="002D44C2"/>
    <w:rsid w:val="002E1277"/>
    <w:rsid w:val="002F18FE"/>
    <w:rsid w:val="002F55CE"/>
    <w:rsid w:val="003110ED"/>
    <w:rsid w:val="00321BC6"/>
    <w:rsid w:val="003237E7"/>
    <w:rsid w:val="00327F39"/>
    <w:rsid w:val="00332515"/>
    <w:rsid w:val="00335967"/>
    <w:rsid w:val="00336AAF"/>
    <w:rsid w:val="003438C9"/>
    <w:rsid w:val="003443E9"/>
    <w:rsid w:val="00363367"/>
    <w:rsid w:val="003777A0"/>
    <w:rsid w:val="00381779"/>
    <w:rsid w:val="00394A50"/>
    <w:rsid w:val="003C5AE5"/>
    <w:rsid w:val="003C66BD"/>
    <w:rsid w:val="003D20BD"/>
    <w:rsid w:val="003D45CE"/>
    <w:rsid w:val="003E64C7"/>
    <w:rsid w:val="003F0EF6"/>
    <w:rsid w:val="003F202C"/>
    <w:rsid w:val="00406EB4"/>
    <w:rsid w:val="00417EF3"/>
    <w:rsid w:val="00426CF2"/>
    <w:rsid w:val="0043215A"/>
    <w:rsid w:val="004451A0"/>
    <w:rsid w:val="004517DF"/>
    <w:rsid w:val="00461D3C"/>
    <w:rsid w:val="00463279"/>
    <w:rsid w:val="00466BBA"/>
    <w:rsid w:val="004A07BE"/>
    <w:rsid w:val="004A121B"/>
    <w:rsid w:val="004B156A"/>
    <w:rsid w:val="004B51E1"/>
    <w:rsid w:val="004B58C1"/>
    <w:rsid w:val="004E05C6"/>
    <w:rsid w:val="004E42D3"/>
    <w:rsid w:val="004E4DFE"/>
    <w:rsid w:val="00500757"/>
    <w:rsid w:val="0051004D"/>
    <w:rsid w:val="005141BF"/>
    <w:rsid w:val="00521D6B"/>
    <w:rsid w:val="005252FD"/>
    <w:rsid w:val="00525904"/>
    <w:rsid w:val="00530F02"/>
    <w:rsid w:val="00533853"/>
    <w:rsid w:val="00533889"/>
    <w:rsid w:val="00533BBA"/>
    <w:rsid w:val="0054457B"/>
    <w:rsid w:val="005521ED"/>
    <w:rsid w:val="00553E65"/>
    <w:rsid w:val="00570DF1"/>
    <w:rsid w:val="005732AB"/>
    <w:rsid w:val="005826D6"/>
    <w:rsid w:val="00586919"/>
    <w:rsid w:val="00590C6E"/>
    <w:rsid w:val="005A3113"/>
    <w:rsid w:val="005A4423"/>
    <w:rsid w:val="005B1531"/>
    <w:rsid w:val="005B2E57"/>
    <w:rsid w:val="005B4A29"/>
    <w:rsid w:val="005B62B7"/>
    <w:rsid w:val="005B6D98"/>
    <w:rsid w:val="005B7A74"/>
    <w:rsid w:val="005D49CC"/>
    <w:rsid w:val="005D4C49"/>
    <w:rsid w:val="005E1746"/>
    <w:rsid w:val="005E74B6"/>
    <w:rsid w:val="0061535D"/>
    <w:rsid w:val="00622550"/>
    <w:rsid w:val="0063314C"/>
    <w:rsid w:val="006476C0"/>
    <w:rsid w:val="00654277"/>
    <w:rsid w:val="0066302B"/>
    <w:rsid w:val="00667850"/>
    <w:rsid w:val="0067224B"/>
    <w:rsid w:val="00673A9A"/>
    <w:rsid w:val="006748FC"/>
    <w:rsid w:val="0067766E"/>
    <w:rsid w:val="0069056C"/>
    <w:rsid w:val="00690FB0"/>
    <w:rsid w:val="006A362F"/>
    <w:rsid w:val="006A7C2A"/>
    <w:rsid w:val="006B265C"/>
    <w:rsid w:val="006B4E92"/>
    <w:rsid w:val="006C40E5"/>
    <w:rsid w:val="007076C6"/>
    <w:rsid w:val="00715762"/>
    <w:rsid w:val="00722270"/>
    <w:rsid w:val="00723459"/>
    <w:rsid w:val="00732F6B"/>
    <w:rsid w:val="00736400"/>
    <w:rsid w:val="00743726"/>
    <w:rsid w:val="00747CB5"/>
    <w:rsid w:val="00782F35"/>
    <w:rsid w:val="007836E3"/>
    <w:rsid w:val="00787244"/>
    <w:rsid w:val="007A2C24"/>
    <w:rsid w:val="007A6691"/>
    <w:rsid w:val="007B19F6"/>
    <w:rsid w:val="007C6483"/>
    <w:rsid w:val="007C7C57"/>
    <w:rsid w:val="007D44BB"/>
    <w:rsid w:val="007E3EB9"/>
    <w:rsid w:val="007F224A"/>
    <w:rsid w:val="00800B2D"/>
    <w:rsid w:val="00811010"/>
    <w:rsid w:val="008172A0"/>
    <w:rsid w:val="00820228"/>
    <w:rsid w:val="008244F7"/>
    <w:rsid w:val="00824937"/>
    <w:rsid w:val="00824B12"/>
    <w:rsid w:val="00830E2D"/>
    <w:rsid w:val="008356F8"/>
    <w:rsid w:val="0084133E"/>
    <w:rsid w:val="00851251"/>
    <w:rsid w:val="00860A38"/>
    <w:rsid w:val="008726C1"/>
    <w:rsid w:val="00872E3A"/>
    <w:rsid w:val="00880FA5"/>
    <w:rsid w:val="008973F6"/>
    <w:rsid w:val="008A6074"/>
    <w:rsid w:val="008B537C"/>
    <w:rsid w:val="008D248C"/>
    <w:rsid w:val="008E208B"/>
    <w:rsid w:val="008E2392"/>
    <w:rsid w:val="008E4AB9"/>
    <w:rsid w:val="008E6CC4"/>
    <w:rsid w:val="008F4445"/>
    <w:rsid w:val="009049E7"/>
    <w:rsid w:val="00906E55"/>
    <w:rsid w:val="00910FD8"/>
    <w:rsid w:val="009262AE"/>
    <w:rsid w:val="00932521"/>
    <w:rsid w:val="0093490E"/>
    <w:rsid w:val="00934F8D"/>
    <w:rsid w:val="00945635"/>
    <w:rsid w:val="00953EA0"/>
    <w:rsid w:val="00967425"/>
    <w:rsid w:val="00977DB9"/>
    <w:rsid w:val="009847DE"/>
    <w:rsid w:val="009B0F46"/>
    <w:rsid w:val="009B6FE4"/>
    <w:rsid w:val="009C02C6"/>
    <w:rsid w:val="009C5654"/>
    <w:rsid w:val="009F2CFF"/>
    <w:rsid w:val="009F31C2"/>
    <w:rsid w:val="00A03629"/>
    <w:rsid w:val="00A13785"/>
    <w:rsid w:val="00A21587"/>
    <w:rsid w:val="00A23228"/>
    <w:rsid w:val="00A23C2D"/>
    <w:rsid w:val="00A4631E"/>
    <w:rsid w:val="00A5072C"/>
    <w:rsid w:val="00A66CB6"/>
    <w:rsid w:val="00A678CC"/>
    <w:rsid w:val="00A70D1B"/>
    <w:rsid w:val="00A82A28"/>
    <w:rsid w:val="00A842EA"/>
    <w:rsid w:val="00A909BB"/>
    <w:rsid w:val="00A9293B"/>
    <w:rsid w:val="00A94AD2"/>
    <w:rsid w:val="00A95072"/>
    <w:rsid w:val="00AA0F86"/>
    <w:rsid w:val="00AA14B6"/>
    <w:rsid w:val="00AA7683"/>
    <w:rsid w:val="00AA7CD4"/>
    <w:rsid w:val="00AC537A"/>
    <w:rsid w:val="00AC56CD"/>
    <w:rsid w:val="00AC7F74"/>
    <w:rsid w:val="00AD36ED"/>
    <w:rsid w:val="00AE0541"/>
    <w:rsid w:val="00AE0A78"/>
    <w:rsid w:val="00AE736C"/>
    <w:rsid w:val="00AF3223"/>
    <w:rsid w:val="00AF3B96"/>
    <w:rsid w:val="00AF555B"/>
    <w:rsid w:val="00B16793"/>
    <w:rsid w:val="00B221E8"/>
    <w:rsid w:val="00B2680F"/>
    <w:rsid w:val="00B27F76"/>
    <w:rsid w:val="00B33776"/>
    <w:rsid w:val="00B37284"/>
    <w:rsid w:val="00B4475F"/>
    <w:rsid w:val="00B45D8F"/>
    <w:rsid w:val="00B5435D"/>
    <w:rsid w:val="00B600DF"/>
    <w:rsid w:val="00B652C6"/>
    <w:rsid w:val="00B67107"/>
    <w:rsid w:val="00B7644E"/>
    <w:rsid w:val="00B8160C"/>
    <w:rsid w:val="00B821E7"/>
    <w:rsid w:val="00B902AF"/>
    <w:rsid w:val="00B91768"/>
    <w:rsid w:val="00BA4C60"/>
    <w:rsid w:val="00BA5686"/>
    <w:rsid w:val="00BA60E0"/>
    <w:rsid w:val="00BB6870"/>
    <w:rsid w:val="00BC54A0"/>
    <w:rsid w:val="00BD4A5E"/>
    <w:rsid w:val="00BE30C8"/>
    <w:rsid w:val="00BE4382"/>
    <w:rsid w:val="00BE5BCB"/>
    <w:rsid w:val="00BE6CB6"/>
    <w:rsid w:val="00BF09CF"/>
    <w:rsid w:val="00BF5CD2"/>
    <w:rsid w:val="00BF61A0"/>
    <w:rsid w:val="00C0388C"/>
    <w:rsid w:val="00C05D34"/>
    <w:rsid w:val="00C11854"/>
    <w:rsid w:val="00C15782"/>
    <w:rsid w:val="00C172E4"/>
    <w:rsid w:val="00C23C38"/>
    <w:rsid w:val="00C27013"/>
    <w:rsid w:val="00C30512"/>
    <w:rsid w:val="00C32FBB"/>
    <w:rsid w:val="00C36F5B"/>
    <w:rsid w:val="00C43657"/>
    <w:rsid w:val="00C501E3"/>
    <w:rsid w:val="00C51AA2"/>
    <w:rsid w:val="00C53D57"/>
    <w:rsid w:val="00C54DA3"/>
    <w:rsid w:val="00C5541A"/>
    <w:rsid w:val="00C6467A"/>
    <w:rsid w:val="00C65603"/>
    <w:rsid w:val="00C74D51"/>
    <w:rsid w:val="00C76C4D"/>
    <w:rsid w:val="00C82F58"/>
    <w:rsid w:val="00C95614"/>
    <w:rsid w:val="00CA15EC"/>
    <w:rsid w:val="00CC1032"/>
    <w:rsid w:val="00CC5360"/>
    <w:rsid w:val="00CC6135"/>
    <w:rsid w:val="00CD1E15"/>
    <w:rsid w:val="00CD39E3"/>
    <w:rsid w:val="00CE33C1"/>
    <w:rsid w:val="00CF512C"/>
    <w:rsid w:val="00D00D3A"/>
    <w:rsid w:val="00D12506"/>
    <w:rsid w:val="00D14EB0"/>
    <w:rsid w:val="00D2116F"/>
    <w:rsid w:val="00D27D17"/>
    <w:rsid w:val="00D30611"/>
    <w:rsid w:val="00D4577E"/>
    <w:rsid w:val="00D50216"/>
    <w:rsid w:val="00D51A57"/>
    <w:rsid w:val="00D54A54"/>
    <w:rsid w:val="00D55B70"/>
    <w:rsid w:val="00D71274"/>
    <w:rsid w:val="00D83B17"/>
    <w:rsid w:val="00DB7736"/>
    <w:rsid w:val="00DC111E"/>
    <w:rsid w:val="00DC61CC"/>
    <w:rsid w:val="00DC6332"/>
    <w:rsid w:val="00DC639D"/>
    <w:rsid w:val="00DC7DDD"/>
    <w:rsid w:val="00DD7A3B"/>
    <w:rsid w:val="00DE4CF1"/>
    <w:rsid w:val="00DE6AF3"/>
    <w:rsid w:val="00E01DD5"/>
    <w:rsid w:val="00E03037"/>
    <w:rsid w:val="00E0335C"/>
    <w:rsid w:val="00E10168"/>
    <w:rsid w:val="00E10469"/>
    <w:rsid w:val="00E11E2F"/>
    <w:rsid w:val="00E13241"/>
    <w:rsid w:val="00E20F58"/>
    <w:rsid w:val="00E23F51"/>
    <w:rsid w:val="00E25823"/>
    <w:rsid w:val="00E358BA"/>
    <w:rsid w:val="00E35A10"/>
    <w:rsid w:val="00E45E8C"/>
    <w:rsid w:val="00E54E62"/>
    <w:rsid w:val="00E60120"/>
    <w:rsid w:val="00E706CE"/>
    <w:rsid w:val="00E850E8"/>
    <w:rsid w:val="00E90872"/>
    <w:rsid w:val="00E92E25"/>
    <w:rsid w:val="00E97530"/>
    <w:rsid w:val="00EA6A9D"/>
    <w:rsid w:val="00EB7038"/>
    <w:rsid w:val="00EC1388"/>
    <w:rsid w:val="00EC3B2E"/>
    <w:rsid w:val="00ED0701"/>
    <w:rsid w:val="00ED0C60"/>
    <w:rsid w:val="00EE6D9B"/>
    <w:rsid w:val="00EF05CC"/>
    <w:rsid w:val="00EF6161"/>
    <w:rsid w:val="00F0035F"/>
    <w:rsid w:val="00F04651"/>
    <w:rsid w:val="00F06124"/>
    <w:rsid w:val="00F07B6B"/>
    <w:rsid w:val="00F32756"/>
    <w:rsid w:val="00F34397"/>
    <w:rsid w:val="00F370F0"/>
    <w:rsid w:val="00F43496"/>
    <w:rsid w:val="00F437D8"/>
    <w:rsid w:val="00F5173E"/>
    <w:rsid w:val="00F5342D"/>
    <w:rsid w:val="00F5395E"/>
    <w:rsid w:val="00F55FDD"/>
    <w:rsid w:val="00F647CF"/>
    <w:rsid w:val="00F67470"/>
    <w:rsid w:val="00F73373"/>
    <w:rsid w:val="00F77CE4"/>
    <w:rsid w:val="00F80B03"/>
    <w:rsid w:val="00F85A77"/>
    <w:rsid w:val="00F92FE8"/>
    <w:rsid w:val="00FA6B21"/>
    <w:rsid w:val="00FB6551"/>
    <w:rsid w:val="00FD1EA1"/>
    <w:rsid w:val="00FD7219"/>
    <w:rsid w:val="00FE673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5:chartTrackingRefBased/>
  <w15:docId w15:val="{BE1FB609-78DA-4D07-933E-5578C9B8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7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B7"/>
    <w:pPr>
      <w:tabs>
        <w:tab w:val="center" w:pos="4680"/>
        <w:tab w:val="right" w:pos="9360"/>
      </w:tabs>
    </w:pPr>
  </w:style>
  <w:style w:type="character" w:customStyle="1" w:styleId="HeaderChar">
    <w:name w:val="Header Char"/>
    <w:basedOn w:val="DefaultParagraphFont"/>
    <w:link w:val="Header"/>
    <w:uiPriority w:val="99"/>
    <w:rsid w:val="00173DB7"/>
  </w:style>
  <w:style w:type="paragraph" w:styleId="Footer">
    <w:name w:val="footer"/>
    <w:basedOn w:val="Normal"/>
    <w:link w:val="FooterChar"/>
    <w:uiPriority w:val="99"/>
    <w:unhideWhenUsed/>
    <w:rsid w:val="00173DB7"/>
    <w:pPr>
      <w:tabs>
        <w:tab w:val="center" w:pos="4680"/>
        <w:tab w:val="right" w:pos="9360"/>
      </w:tabs>
    </w:pPr>
  </w:style>
  <w:style w:type="character" w:customStyle="1" w:styleId="FooterChar">
    <w:name w:val="Footer Char"/>
    <w:basedOn w:val="DefaultParagraphFont"/>
    <w:link w:val="Footer"/>
    <w:uiPriority w:val="99"/>
    <w:rsid w:val="00173DB7"/>
  </w:style>
  <w:style w:type="table" w:styleId="TableGrid">
    <w:name w:val="Table Grid"/>
    <w:basedOn w:val="TableNormal"/>
    <w:uiPriority w:val="39"/>
    <w:rsid w:val="0017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785"/>
    <w:pPr>
      <w:ind w:left="720"/>
      <w:contextualSpacing/>
    </w:pPr>
  </w:style>
  <w:style w:type="paragraph" w:styleId="FootnoteText">
    <w:name w:val="footnote text"/>
    <w:basedOn w:val="Normal"/>
    <w:link w:val="FootnoteTextChar"/>
    <w:semiHidden/>
    <w:rsid w:val="00525904"/>
    <w:rPr>
      <w:sz w:val="20"/>
      <w:szCs w:val="20"/>
    </w:rPr>
  </w:style>
  <w:style w:type="character" w:customStyle="1" w:styleId="FootnoteTextChar">
    <w:name w:val="Footnote Text Char"/>
    <w:basedOn w:val="DefaultParagraphFont"/>
    <w:link w:val="FootnoteText"/>
    <w:semiHidden/>
    <w:rsid w:val="00525904"/>
    <w:rPr>
      <w:rFonts w:ascii="Times New Roman" w:eastAsia="Times New Roman" w:hAnsi="Times New Roman" w:cs="Times New Roman"/>
      <w:sz w:val="20"/>
      <w:szCs w:val="20"/>
    </w:rPr>
  </w:style>
  <w:style w:type="character" w:styleId="FootnoteReference">
    <w:name w:val="footnote reference"/>
    <w:basedOn w:val="DefaultParagraphFont"/>
    <w:semiHidden/>
    <w:rsid w:val="00525904"/>
    <w:rPr>
      <w:vertAlign w:val="superscript"/>
    </w:rPr>
  </w:style>
  <w:style w:type="paragraph" w:styleId="BodyText">
    <w:name w:val="Body Text"/>
    <w:basedOn w:val="Normal"/>
    <w:link w:val="BodyTextChar"/>
    <w:uiPriority w:val="1"/>
    <w:qFormat/>
    <w:rsid w:val="007E3EB9"/>
    <w:pPr>
      <w:autoSpaceDE w:val="0"/>
      <w:autoSpaceDN w:val="0"/>
      <w:adjustRightInd w:val="0"/>
      <w:spacing w:before="126"/>
      <w:ind w:firstLine="597"/>
    </w:pPr>
    <w:rPr>
      <w:rFonts w:eastAsiaTheme="minorHAnsi"/>
      <w:sz w:val="26"/>
      <w:szCs w:val="26"/>
    </w:rPr>
  </w:style>
  <w:style w:type="character" w:customStyle="1" w:styleId="BodyTextChar">
    <w:name w:val="Body Text Char"/>
    <w:basedOn w:val="DefaultParagraphFont"/>
    <w:link w:val="BodyText"/>
    <w:uiPriority w:val="1"/>
    <w:rsid w:val="007E3EB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B8FA-CD1A-4C34-992D-9E03198F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Bergstrom</dc:creator>
  <cp:keywords/>
  <dc:description/>
  <cp:lastModifiedBy>Toby Pearson</cp:lastModifiedBy>
  <cp:revision>2</cp:revision>
  <dcterms:created xsi:type="dcterms:W3CDTF">2016-03-08T18:58:00Z</dcterms:created>
  <dcterms:modified xsi:type="dcterms:W3CDTF">2016-03-08T18:58:00Z</dcterms:modified>
</cp:coreProperties>
</file>