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07" w:rsidRPr="00B13339" w:rsidRDefault="00CA7507" w:rsidP="00CA7507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Times New Roman" w:hAnsi="Calibri" w:cs="Times New Roman"/>
          <w:b/>
          <w:color w:val="17365D"/>
          <w:spacing w:val="5"/>
          <w:kern w:val="28"/>
          <w:sz w:val="36"/>
          <w:szCs w:val="36"/>
        </w:rPr>
      </w:pPr>
      <w:r w:rsidRPr="00B13339">
        <w:rPr>
          <w:rFonts w:ascii="Calibri" w:eastAsia="Times New Roman" w:hAnsi="Calibri" w:cs="Times New Roman"/>
          <w:b/>
          <w:color w:val="17365D"/>
          <w:spacing w:val="5"/>
          <w:kern w:val="28"/>
          <w:sz w:val="36"/>
          <w:szCs w:val="36"/>
        </w:rPr>
        <w:t>Fact Sheet</w:t>
      </w:r>
    </w:p>
    <w:p w:rsidR="002B45C6" w:rsidRDefault="002B45C6" w:rsidP="002B45C6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Times New Roman" w:hAnsi="Calibri" w:cs="Times New Roman"/>
          <w:b/>
          <w:color w:val="17365D"/>
          <w:spacing w:val="5"/>
          <w:kern w:val="28"/>
          <w:sz w:val="24"/>
          <w:szCs w:val="24"/>
        </w:rPr>
      </w:pPr>
      <w:r w:rsidRPr="002B45C6">
        <w:rPr>
          <w:rFonts w:ascii="Calibri" w:eastAsia="Times New Roman" w:hAnsi="Calibri" w:cs="Times New Roman"/>
          <w:b/>
          <w:color w:val="17365D"/>
          <w:spacing w:val="5"/>
          <w:kern w:val="28"/>
          <w:sz w:val="24"/>
          <w:szCs w:val="24"/>
        </w:rPr>
        <w:t xml:space="preserve">Greater Minnesota Business Development Public Infrastructure Grant Program </w:t>
      </w:r>
    </w:p>
    <w:p w:rsidR="002B45C6" w:rsidRPr="002B45C6" w:rsidRDefault="002B45C6" w:rsidP="002B45C6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Times New Roman" w:hAnsi="Calibri" w:cs="Times New Roman"/>
          <w:color w:val="17365D"/>
          <w:spacing w:val="5"/>
          <w:kern w:val="28"/>
          <w:sz w:val="20"/>
          <w:szCs w:val="20"/>
        </w:rPr>
      </w:pPr>
      <w:r w:rsidRPr="002B45C6">
        <w:rPr>
          <w:rFonts w:ascii="Calibri" w:eastAsia="Times New Roman" w:hAnsi="Calibri" w:cs="Times New Roman"/>
          <w:color w:val="17365D"/>
          <w:spacing w:val="5"/>
          <w:kern w:val="28"/>
          <w:sz w:val="20"/>
          <w:szCs w:val="20"/>
        </w:rPr>
        <w:t>Department of Employment and Economic Development</w:t>
      </w:r>
    </w:p>
    <w:p w:rsidR="002B45C6" w:rsidRPr="002B45C6" w:rsidRDefault="00ED270D" w:rsidP="002B45C6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Times New Roman" w:hAnsi="Calibri" w:cs="Times New Roman"/>
          <w:color w:val="17365D"/>
          <w:spacing w:val="5"/>
          <w:kern w:val="28"/>
          <w:sz w:val="20"/>
          <w:szCs w:val="20"/>
        </w:rPr>
      </w:pPr>
      <w:r>
        <w:rPr>
          <w:rFonts w:ascii="Calibri" w:eastAsia="Times New Roman" w:hAnsi="Calibri" w:cs="Times New Roman"/>
          <w:color w:val="17365D"/>
          <w:spacing w:val="5"/>
          <w:kern w:val="28"/>
          <w:sz w:val="20"/>
          <w:szCs w:val="20"/>
        </w:rPr>
        <w:t>March 2016</w:t>
      </w:r>
    </w:p>
    <w:p w:rsidR="002B45C6" w:rsidRDefault="002B45C6" w:rsidP="002B45C6">
      <w:pPr>
        <w:pStyle w:val="Header"/>
        <w:rPr>
          <w:rFonts w:ascii="Calibri" w:hAnsi="Calibri"/>
          <w:b/>
          <w:color w:val="42558C" w:themeColor="accent1" w:themeShade="BF"/>
          <w:sz w:val="28"/>
          <w:szCs w:val="28"/>
        </w:rPr>
      </w:pPr>
      <w:r w:rsidRPr="00FC1480">
        <w:rPr>
          <w:noProof/>
          <w:sz w:val="26"/>
        </w:rPr>
        <mc:AlternateContent>
          <mc:Choice Requires="wps">
            <w:drawing>
              <wp:anchor distT="0" distB="0" distL="274320" distR="114300" simplePos="0" relativeHeight="251659264" behindDoc="0" locked="0" layoutInCell="1" allowOverlap="1" wp14:anchorId="35E9DD62" wp14:editId="67DEC254">
                <wp:simplePos x="0" y="0"/>
                <wp:positionH relativeFrom="margin">
                  <wp:posOffset>4779645</wp:posOffset>
                </wp:positionH>
                <wp:positionV relativeFrom="margin">
                  <wp:posOffset>1181735</wp:posOffset>
                </wp:positionV>
                <wp:extent cx="2209800" cy="6284595"/>
                <wp:effectExtent l="0" t="0" r="0" b="190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284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3D5D" w:rsidRDefault="00E937F6" w:rsidP="00BB4F0B">
                            <w:pPr>
                              <w:pStyle w:val="Heading1"/>
                              <w:spacing w:before="0"/>
                              <w:jc w:val="center"/>
                              <w:rPr>
                                <w:color w:val="2F5897" w:themeColor="text2"/>
                              </w:rPr>
                            </w:pPr>
                            <w:r>
                              <w:rPr>
                                <w:color w:val="2F5897" w:themeColor="text2"/>
                              </w:rPr>
                              <w:t xml:space="preserve">Essential </w:t>
                            </w:r>
                            <w:r w:rsidR="00EC117A">
                              <w:rPr>
                                <w:color w:val="2F5897" w:themeColor="text2"/>
                              </w:rPr>
                              <w:t>Infrastructure</w:t>
                            </w:r>
                            <w:r>
                              <w:rPr>
                                <w:color w:val="2F5897" w:themeColor="text2"/>
                              </w:rPr>
                              <w:t xml:space="preserve"> for Greater Minnesota</w:t>
                            </w:r>
                            <w:r w:rsidR="00EC117A">
                              <w:rPr>
                                <w:color w:val="2F5897" w:themeColor="text2"/>
                              </w:rPr>
                              <w:t xml:space="preserve"> Businesses</w:t>
                            </w:r>
                          </w:p>
                          <w:p w:rsidR="00D93D5D" w:rsidRDefault="00D93D5D">
                            <w:pPr>
                              <w:spacing w:after="100"/>
                              <w:jc w:val="center"/>
                              <w:rPr>
                                <w:color w:val="6076B4" w:themeColor="accent1"/>
                              </w:rPr>
                            </w:pPr>
                            <w:r>
                              <w:rPr>
                                <w:color w:val="6076B4" w:themeColor="accent1"/>
                              </w:rPr>
                              <w:sym w:font="Symbol" w:char="F0B7"/>
                            </w:r>
                            <w:r>
                              <w:rPr>
                                <w:color w:val="6076B4" w:themeColor="accent1"/>
                              </w:rPr>
                              <w:t xml:space="preserve"> </w:t>
                            </w:r>
                            <w:r>
                              <w:rPr>
                                <w:color w:val="6076B4" w:themeColor="accent1"/>
                              </w:rPr>
                              <w:sym w:font="Symbol" w:char="F0B7"/>
                            </w:r>
                            <w:r>
                              <w:rPr>
                                <w:color w:val="6076B4" w:themeColor="accent1"/>
                              </w:rPr>
                              <w:t xml:space="preserve"> </w:t>
                            </w:r>
                            <w:r>
                              <w:rPr>
                                <w:color w:val="6076B4" w:themeColor="accent1"/>
                              </w:rPr>
                              <w:sym w:font="Symbol" w:char="F0B7"/>
                            </w:r>
                          </w:p>
                          <w:p w:rsidR="00E937F6" w:rsidRPr="00EC117A" w:rsidRDefault="00E937F6" w:rsidP="00E937F6">
                            <w:pPr>
                              <w:spacing w:after="0"/>
                              <w:rPr>
                                <w:color w:val="2F5897" w:themeColor="text2"/>
                                <w:sz w:val="20"/>
                                <w:szCs w:val="20"/>
                              </w:rPr>
                            </w:pPr>
                            <w:r w:rsidRPr="00EC117A">
                              <w:rPr>
                                <w:color w:val="2F5897" w:themeColor="text2"/>
                                <w:sz w:val="20"/>
                                <w:szCs w:val="20"/>
                              </w:rPr>
                              <w:t>Eligible applicants are statutory or home rule cities outside of the seven-county metropolitan area.</w:t>
                            </w:r>
                          </w:p>
                          <w:p w:rsidR="00E937F6" w:rsidRPr="00EC117A" w:rsidRDefault="00E937F6" w:rsidP="00E937F6">
                            <w:pPr>
                              <w:spacing w:after="0"/>
                              <w:rPr>
                                <w:color w:val="2F5897" w:themeColor="text2"/>
                                <w:sz w:val="20"/>
                                <w:szCs w:val="20"/>
                              </w:rPr>
                            </w:pPr>
                          </w:p>
                          <w:p w:rsidR="00E937F6" w:rsidRPr="00EC117A" w:rsidRDefault="00E937F6" w:rsidP="00E937F6">
                            <w:pPr>
                              <w:spacing w:after="0"/>
                              <w:rPr>
                                <w:color w:val="2F5897" w:themeColor="text2"/>
                                <w:sz w:val="20"/>
                                <w:szCs w:val="20"/>
                              </w:rPr>
                            </w:pPr>
                            <w:r w:rsidRPr="00EC117A">
                              <w:rPr>
                                <w:color w:val="2F5897" w:themeColor="text2"/>
                                <w:sz w:val="20"/>
                                <w:szCs w:val="20"/>
                              </w:rPr>
                              <w:t>Eligible projects include publicly owned infrastructure that supports economic development projects, including wastewater collection and treatment, drinking water, storm sewers, utility extensions, and streets.</w:t>
                            </w:r>
                          </w:p>
                          <w:p w:rsidR="00E937F6" w:rsidRPr="00EC117A" w:rsidRDefault="00E937F6" w:rsidP="00E937F6">
                            <w:pPr>
                              <w:spacing w:after="0"/>
                              <w:rPr>
                                <w:color w:val="2F5897" w:themeColor="text2"/>
                                <w:sz w:val="20"/>
                                <w:szCs w:val="20"/>
                              </w:rPr>
                            </w:pPr>
                          </w:p>
                          <w:p w:rsidR="00E937F6" w:rsidRPr="00EC117A" w:rsidRDefault="00E937F6" w:rsidP="00E937F6">
                            <w:pPr>
                              <w:spacing w:after="0"/>
                              <w:rPr>
                                <w:color w:val="2F5897" w:themeColor="text2"/>
                                <w:sz w:val="20"/>
                                <w:szCs w:val="20"/>
                              </w:rPr>
                            </w:pPr>
                            <w:r w:rsidRPr="00EC117A">
                              <w:rPr>
                                <w:color w:val="2F5897" w:themeColor="text2"/>
                                <w:sz w:val="20"/>
                                <w:szCs w:val="20"/>
                              </w:rPr>
                              <w:t>Economic development projects include manufacturing, technology, warehousing and distribution, research and development, agricultural processing, and industrial park development.</w:t>
                            </w:r>
                          </w:p>
                          <w:p w:rsidR="00E937F6" w:rsidRPr="00EC117A" w:rsidRDefault="00E937F6" w:rsidP="00E937F6">
                            <w:pPr>
                              <w:spacing w:after="0"/>
                              <w:rPr>
                                <w:color w:val="2F5897" w:themeColor="text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457200" rIns="18288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9DD62" id="Rectangle 2" o:spid="_x0000_s1026" style="position:absolute;margin-left:376.35pt;margin-top:93.05pt;width:174pt;height:494.85pt;z-index:251659264;visibility:visible;mso-wrap-style:square;mso-width-percent:0;mso-height-percent:0;mso-wrap-distance-left:21.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" fillcolor="#e4e9ef [3214]" stroked="f" strokeweight="2.25pt">
                <v:fill opacity="55769f"/>
                <v:textbox inset="14.4pt,36pt,14.4pt,10.8pt">
                  <w:txbxContent>
                    <w:p w:rsidR="00D93D5D" w:rsidRDefault="00E937F6" w:rsidP="00BB4F0B">
                      <w:pPr>
                        <w:pStyle w:val="Heading1"/>
                        <w:spacing w:before="0"/>
                        <w:jc w:val="center"/>
                        <w:rPr>
                          <w:color w:val="2F5897" w:themeColor="text2"/>
                        </w:rPr>
                      </w:pPr>
                      <w:r>
                        <w:rPr>
                          <w:color w:val="2F5897" w:themeColor="text2"/>
                        </w:rPr>
                        <w:t xml:space="preserve">Essential </w:t>
                      </w:r>
                      <w:r w:rsidR="00EC117A">
                        <w:rPr>
                          <w:color w:val="2F5897" w:themeColor="text2"/>
                        </w:rPr>
                        <w:t>Infrastructure</w:t>
                      </w:r>
                      <w:r>
                        <w:rPr>
                          <w:color w:val="2F5897" w:themeColor="text2"/>
                        </w:rPr>
                        <w:t xml:space="preserve"> for Greater Minnesota</w:t>
                      </w:r>
                      <w:r w:rsidR="00EC117A">
                        <w:rPr>
                          <w:color w:val="2F5897" w:themeColor="text2"/>
                        </w:rPr>
                        <w:t xml:space="preserve"> Businesses</w:t>
                      </w:r>
                    </w:p>
                    <w:p w:rsidR="00D93D5D" w:rsidRDefault="00D93D5D">
                      <w:pPr>
                        <w:spacing w:after="100"/>
                        <w:jc w:val="center"/>
                        <w:rPr>
                          <w:color w:val="6076B4" w:themeColor="accent1"/>
                        </w:rPr>
                      </w:pPr>
                      <w:r>
                        <w:rPr>
                          <w:color w:val="6076B4" w:themeColor="accent1"/>
                        </w:rPr>
                        <w:sym w:font="Symbol" w:char="F0B7"/>
                      </w:r>
                      <w:r>
                        <w:rPr>
                          <w:color w:val="6076B4" w:themeColor="accent1"/>
                        </w:rPr>
                        <w:t xml:space="preserve"> </w:t>
                      </w:r>
                      <w:r>
                        <w:rPr>
                          <w:color w:val="6076B4" w:themeColor="accent1"/>
                        </w:rPr>
                        <w:sym w:font="Symbol" w:char="F0B7"/>
                      </w:r>
                      <w:r>
                        <w:rPr>
                          <w:color w:val="6076B4" w:themeColor="accent1"/>
                        </w:rPr>
                        <w:t xml:space="preserve"> </w:t>
                      </w:r>
                      <w:r>
                        <w:rPr>
                          <w:color w:val="6076B4" w:themeColor="accent1"/>
                        </w:rPr>
                        <w:sym w:font="Symbol" w:char="F0B7"/>
                      </w:r>
                    </w:p>
                    <w:p w:rsidR="00E937F6" w:rsidRPr="00EC117A" w:rsidRDefault="00E937F6" w:rsidP="00E937F6">
                      <w:pPr>
                        <w:spacing w:after="0"/>
                        <w:rPr>
                          <w:color w:val="2F5897" w:themeColor="text2"/>
                          <w:sz w:val="20"/>
                          <w:szCs w:val="20"/>
                        </w:rPr>
                      </w:pPr>
                      <w:r w:rsidRPr="00EC117A">
                        <w:rPr>
                          <w:color w:val="2F5897" w:themeColor="text2"/>
                          <w:sz w:val="20"/>
                          <w:szCs w:val="20"/>
                        </w:rPr>
                        <w:t>Eligible applicants are statutory or home rule cities outside of the seven-county metropolitan area.</w:t>
                      </w:r>
                    </w:p>
                    <w:p w:rsidR="00E937F6" w:rsidRPr="00EC117A" w:rsidRDefault="00E937F6" w:rsidP="00E937F6">
                      <w:pPr>
                        <w:spacing w:after="0"/>
                        <w:rPr>
                          <w:color w:val="2F5897" w:themeColor="text2"/>
                          <w:sz w:val="20"/>
                          <w:szCs w:val="20"/>
                        </w:rPr>
                      </w:pPr>
                    </w:p>
                    <w:p w:rsidR="00E937F6" w:rsidRPr="00EC117A" w:rsidRDefault="00E937F6" w:rsidP="00E937F6">
                      <w:pPr>
                        <w:spacing w:after="0"/>
                        <w:rPr>
                          <w:color w:val="2F5897" w:themeColor="text2"/>
                          <w:sz w:val="20"/>
                          <w:szCs w:val="20"/>
                        </w:rPr>
                      </w:pPr>
                      <w:r w:rsidRPr="00EC117A">
                        <w:rPr>
                          <w:color w:val="2F5897" w:themeColor="text2"/>
                          <w:sz w:val="20"/>
                          <w:szCs w:val="20"/>
                        </w:rPr>
                        <w:t>Eligible projects include publicly owned infrastructure that supports economic development projects, including wastewater collection and treatment, drinking water, storm sewers, utility extensions, and streets.</w:t>
                      </w:r>
                    </w:p>
                    <w:p w:rsidR="00E937F6" w:rsidRPr="00EC117A" w:rsidRDefault="00E937F6" w:rsidP="00E937F6">
                      <w:pPr>
                        <w:spacing w:after="0"/>
                        <w:rPr>
                          <w:color w:val="2F5897" w:themeColor="text2"/>
                          <w:sz w:val="20"/>
                          <w:szCs w:val="20"/>
                        </w:rPr>
                      </w:pPr>
                    </w:p>
                    <w:p w:rsidR="00E937F6" w:rsidRPr="00EC117A" w:rsidRDefault="00E937F6" w:rsidP="00E937F6">
                      <w:pPr>
                        <w:spacing w:after="0"/>
                        <w:rPr>
                          <w:color w:val="2F5897" w:themeColor="text2"/>
                          <w:sz w:val="20"/>
                          <w:szCs w:val="20"/>
                        </w:rPr>
                      </w:pPr>
                      <w:r w:rsidRPr="00EC117A">
                        <w:rPr>
                          <w:color w:val="2F5897" w:themeColor="text2"/>
                          <w:sz w:val="20"/>
                          <w:szCs w:val="20"/>
                        </w:rPr>
                        <w:t>Economic development projects include manufacturing, technology, warehousing and distribution, research and development, agricultural processing, and industrial park development.</w:t>
                      </w:r>
                    </w:p>
                    <w:p w:rsidR="00E937F6" w:rsidRPr="00EC117A" w:rsidRDefault="00E937F6" w:rsidP="00E937F6">
                      <w:pPr>
                        <w:spacing w:after="0"/>
                        <w:rPr>
                          <w:color w:val="2F5897" w:themeColor="text2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235A2C" w:rsidRDefault="00235A2C" w:rsidP="00F87048">
      <w:pPr>
        <w:pStyle w:val="Header"/>
        <w:spacing w:after="0"/>
        <w:rPr>
          <w:rFonts w:ascii="Calibri" w:hAnsi="Calibri"/>
          <w:b/>
          <w:color w:val="42558C" w:themeColor="accent1" w:themeShade="BF"/>
          <w:sz w:val="28"/>
          <w:szCs w:val="28"/>
        </w:rPr>
      </w:pPr>
    </w:p>
    <w:p w:rsidR="00235A2C" w:rsidRDefault="00235A2C" w:rsidP="00F87048">
      <w:pPr>
        <w:pStyle w:val="Header"/>
        <w:spacing w:after="0"/>
        <w:rPr>
          <w:rFonts w:ascii="Calibri" w:hAnsi="Calibri"/>
          <w:b/>
          <w:color w:val="42558C" w:themeColor="accent1" w:themeShade="BF"/>
          <w:sz w:val="28"/>
          <w:szCs w:val="28"/>
        </w:rPr>
      </w:pPr>
    </w:p>
    <w:p w:rsidR="0030527A" w:rsidRPr="002B45C6" w:rsidRDefault="00BE37FA" w:rsidP="00F87048">
      <w:pPr>
        <w:pStyle w:val="Header"/>
        <w:spacing w:after="0"/>
        <w:rPr>
          <w:rFonts w:ascii="Calibri" w:hAnsi="Calibri"/>
          <w:b/>
          <w:color w:val="42558C" w:themeColor="accent1" w:themeShade="BF"/>
          <w:sz w:val="28"/>
          <w:szCs w:val="28"/>
        </w:rPr>
      </w:pPr>
      <w:r w:rsidRPr="002B45C6">
        <w:rPr>
          <w:rFonts w:ascii="Calibri" w:hAnsi="Calibri"/>
          <w:b/>
          <w:color w:val="42558C" w:themeColor="accent1" w:themeShade="BF"/>
          <w:sz w:val="28"/>
          <w:szCs w:val="28"/>
        </w:rPr>
        <w:t>Infrastructure</w:t>
      </w:r>
      <w:r w:rsidR="00D723A5" w:rsidRPr="002B45C6">
        <w:rPr>
          <w:rFonts w:ascii="Calibri" w:hAnsi="Calibri"/>
          <w:b/>
          <w:color w:val="42558C" w:themeColor="accent1" w:themeShade="BF"/>
          <w:sz w:val="28"/>
          <w:szCs w:val="28"/>
        </w:rPr>
        <w:t xml:space="preserve"> I</w:t>
      </w:r>
      <w:r w:rsidR="00FC1480" w:rsidRPr="002B45C6">
        <w:rPr>
          <w:rFonts w:ascii="Calibri" w:hAnsi="Calibri"/>
          <w:b/>
          <w:color w:val="42558C" w:themeColor="accent1" w:themeShade="BF"/>
          <w:sz w:val="28"/>
          <w:szCs w:val="28"/>
        </w:rPr>
        <w:t>nvestments Fuel Economic Growth</w:t>
      </w:r>
    </w:p>
    <w:p w:rsidR="00FC1480" w:rsidRDefault="00FC1480" w:rsidP="00F87048">
      <w:pPr>
        <w:pStyle w:val="NoSpacing"/>
      </w:pPr>
      <w:r w:rsidRPr="00FE62F6">
        <w:t xml:space="preserve">The </w:t>
      </w:r>
      <w:r w:rsidR="00E937F6">
        <w:t>Greater Minnesota</w:t>
      </w:r>
      <w:r w:rsidR="00BE37FA">
        <w:t xml:space="preserve"> Business Development Public Infrastructure Grant</w:t>
      </w:r>
      <w:r w:rsidRPr="00FE62F6">
        <w:t xml:space="preserve"> Program </w:t>
      </w:r>
      <w:r w:rsidR="006D0FEF">
        <w:t>(M.S. 116J.</w:t>
      </w:r>
      <w:r w:rsidR="00E937F6">
        <w:t>431</w:t>
      </w:r>
      <w:r w:rsidR="006D0FEF">
        <w:t xml:space="preserve">) </w:t>
      </w:r>
      <w:r w:rsidR="00E937F6">
        <w:t>helps stimulate new economic development, create new jobs</w:t>
      </w:r>
      <w:r w:rsidR="00EC117A">
        <w:t>,</w:t>
      </w:r>
      <w:r w:rsidR="00E937F6">
        <w:t xml:space="preserve"> and retain existing jobs through investments in public infrastructure.</w:t>
      </w:r>
      <w:r w:rsidR="00EC117A">
        <w:t xml:space="preserve"> Funds only go to Greater Minnesota </w:t>
      </w:r>
      <w:r w:rsidR="00E937F6">
        <w:t>cities</w:t>
      </w:r>
      <w:r w:rsidR="00EC117A">
        <w:t xml:space="preserve">, which can use </w:t>
      </w:r>
      <w:r w:rsidR="00A2602D">
        <w:t>BDPI dollars</w:t>
      </w:r>
      <w:r w:rsidR="00EC117A">
        <w:t xml:space="preserve"> for</w:t>
      </w:r>
      <w:r w:rsidR="00E937F6">
        <w:t xml:space="preserve"> of up to 50 percent of the capital costs of the public infrastructure necessary to expand or retain jobs in the area, i</w:t>
      </w:r>
      <w:bookmarkStart w:id="0" w:name="_GoBack"/>
      <w:bookmarkEnd w:id="0"/>
      <w:r w:rsidR="00E937F6">
        <w:t>ncrease the tax base, or expand or create new economic development.</w:t>
      </w:r>
    </w:p>
    <w:p w:rsidR="006D0FEF" w:rsidRDefault="006D0FEF" w:rsidP="00053EB3">
      <w:pPr>
        <w:pStyle w:val="NoSpacing"/>
      </w:pPr>
    </w:p>
    <w:p w:rsidR="00BE37FA" w:rsidRDefault="00E937F6" w:rsidP="00993D7A">
      <w:pPr>
        <w:spacing w:after="0"/>
      </w:pPr>
      <w:r>
        <w:t>The BDPI program is one of Greater Minnesota’s best i</w:t>
      </w:r>
      <w:r w:rsidRPr="00E937F6">
        <w:t xml:space="preserve">nfrastructure </w:t>
      </w:r>
      <w:r>
        <w:t>tools</w:t>
      </w:r>
      <w:r w:rsidRPr="00E937F6">
        <w:t xml:space="preserve"> for undeveloped </w:t>
      </w:r>
      <w:r w:rsidR="00EC117A">
        <w:t>areas. Helping expand the available sites for development is</w:t>
      </w:r>
      <w:r>
        <w:t xml:space="preserve"> particularly </w:t>
      </w:r>
      <w:r w:rsidRPr="00E937F6">
        <w:t xml:space="preserve">critical in stimulating private investment and maintaining healthy, vital </w:t>
      </w:r>
      <w:r>
        <w:t>rural communities.</w:t>
      </w:r>
    </w:p>
    <w:p w:rsidR="00993D7A" w:rsidRPr="002B45C6" w:rsidRDefault="00993D7A" w:rsidP="002B45C6">
      <w:pPr>
        <w:pStyle w:val="Heading1"/>
        <w:rPr>
          <w:rFonts w:ascii="Calibri" w:hAnsi="Calibri"/>
          <w:b/>
          <w:i w:val="0"/>
          <w:color w:val="42558C" w:themeColor="accent1" w:themeShade="BF"/>
          <w:sz w:val="28"/>
          <w:szCs w:val="28"/>
        </w:rPr>
      </w:pPr>
      <w:r w:rsidRPr="002B45C6">
        <w:rPr>
          <w:rFonts w:ascii="Calibri" w:hAnsi="Calibri"/>
          <w:b/>
          <w:i w:val="0"/>
          <w:color w:val="42558C" w:themeColor="accent1" w:themeShade="BF"/>
          <w:sz w:val="28"/>
          <w:szCs w:val="28"/>
        </w:rPr>
        <w:t>Past Successes and Future Opportunity</w:t>
      </w:r>
    </w:p>
    <w:p w:rsidR="00993D7A" w:rsidRDefault="00993D7A" w:rsidP="00053EB3">
      <w:pPr>
        <w:pStyle w:val="NoSpacing"/>
      </w:pPr>
      <w:r>
        <w:t xml:space="preserve">Since </w:t>
      </w:r>
      <w:r w:rsidR="00DE06D8">
        <w:t>2004</w:t>
      </w:r>
      <w:r>
        <w:t xml:space="preserve">, </w:t>
      </w:r>
      <w:r w:rsidR="00D723A5">
        <w:t>the Department of Employment and Economic Devel</w:t>
      </w:r>
      <w:r w:rsidR="00DE06D8">
        <w:t xml:space="preserve">opment (DEED) has awarded </w:t>
      </w:r>
      <w:r w:rsidR="00ED270D">
        <w:t>over</w:t>
      </w:r>
      <w:r w:rsidR="00DE06D8">
        <w:t xml:space="preserve"> $5</w:t>
      </w:r>
      <w:r w:rsidR="00ED270D">
        <w:t>5</w:t>
      </w:r>
      <w:r w:rsidR="00DE06D8">
        <w:t xml:space="preserve"> </w:t>
      </w:r>
      <w:r w:rsidR="00D723A5">
        <w:t xml:space="preserve">million to complete </w:t>
      </w:r>
      <w:r w:rsidR="00ED270D">
        <w:t>190</w:t>
      </w:r>
      <w:r w:rsidR="00D723A5">
        <w:t xml:space="preserve"> projects with the following results:</w:t>
      </w:r>
    </w:p>
    <w:p w:rsidR="00D723A5" w:rsidRDefault="00D723A5" w:rsidP="00993D7A">
      <w:pPr>
        <w:spacing w:after="0"/>
      </w:pPr>
    </w:p>
    <w:p w:rsidR="00D723A5" w:rsidRDefault="00D723A5" w:rsidP="00D723A5">
      <w:pPr>
        <w:pStyle w:val="ListParagraph"/>
        <w:numPr>
          <w:ilvl w:val="0"/>
          <w:numId w:val="2"/>
        </w:numPr>
        <w:spacing w:after="0"/>
      </w:pPr>
      <w:r>
        <w:t>Over $</w:t>
      </w:r>
      <w:r w:rsidR="00DE06D8">
        <w:t>1</w:t>
      </w:r>
      <w:r w:rsidR="00ED270D">
        <w:t xml:space="preserve">75 </w:t>
      </w:r>
      <w:r w:rsidR="00DE06D8">
        <w:t>m</w:t>
      </w:r>
      <w:r>
        <w:t xml:space="preserve">illion in </w:t>
      </w:r>
      <w:r w:rsidR="00DE06D8">
        <w:t xml:space="preserve">leveraged private investment </w:t>
      </w:r>
    </w:p>
    <w:p w:rsidR="00D723A5" w:rsidRDefault="00ED270D" w:rsidP="00D723A5">
      <w:pPr>
        <w:pStyle w:val="ListParagraph"/>
        <w:numPr>
          <w:ilvl w:val="0"/>
          <w:numId w:val="2"/>
        </w:numPr>
        <w:spacing w:after="0"/>
      </w:pPr>
      <w:r>
        <w:t xml:space="preserve">11,277 </w:t>
      </w:r>
      <w:r w:rsidR="00D723A5">
        <w:t xml:space="preserve"> </w:t>
      </w:r>
      <w:r w:rsidR="00DE06D8">
        <w:t>new or retained jobs</w:t>
      </w:r>
    </w:p>
    <w:p w:rsidR="00D723A5" w:rsidRDefault="00D723A5" w:rsidP="00D723A5">
      <w:pPr>
        <w:pStyle w:val="ListParagraph"/>
        <w:spacing w:after="0"/>
        <w:ind w:left="720" w:firstLine="0"/>
      </w:pPr>
    </w:p>
    <w:p w:rsidR="00EB49C0" w:rsidRDefault="00EB49C0" w:rsidP="00053EB3">
      <w:pPr>
        <w:pStyle w:val="NoSpacing"/>
      </w:pPr>
    </w:p>
    <w:sectPr w:rsidR="00EB49C0" w:rsidSect="00D50D52">
      <w:footerReference w:type="even" r:id="rId11"/>
      <w:footerReference w:type="default" r:id="rId12"/>
      <w:pgSz w:w="12240" w:h="15840"/>
      <w:pgMar w:top="547" w:right="720" w:bottom="1080" w:left="720" w:header="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FF1" w:rsidRDefault="00581FF1">
      <w:pPr>
        <w:spacing w:after="0" w:line="240" w:lineRule="auto"/>
      </w:pPr>
      <w:r>
        <w:separator/>
      </w:r>
    </w:p>
  </w:endnote>
  <w:endnote w:type="continuationSeparator" w:id="0">
    <w:p w:rsidR="00581FF1" w:rsidRDefault="0058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D5D" w:rsidRDefault="00D93D5D">
    <w:pPr>
      <w:jc w:val="right"/>
    </w:pPr>
  </w:p>
  <w:p w:rsidR="00D93D5D" w:rsidRDefault="00D93D5D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E68422" w:themeColor="accent3"/>
      </w:rPr>
      <w:sym w:font="Wingdings 2" w:char="F097"/>
    </w:r>
    <w:r>
      <w:t xml:space="preserve"> </w:t>
    </w:r>
  </w:p>
  <w:p w:rsidR="00D93D5D" w:rsidRDefault="00D93D5D">
    <w:pPr>
      <w:jc w:val="right"/>
    </w:pPr>
    <w:r>
      <w:rPr>
        <w:noProof/>
      </w:rPr>
      <mc:AlternateContent>
        <mc:Choice Requires="wpg">
          <w:drawing>
            <wp:inline distT="0" distB="0" distL="0" distR="0" wp14:anchorId="55AF780B" wp14:editId="479D0F85">
              <wp:extent cx="2327910" cy="45085"/>
              <wp:effectExtent l="9525" t="9525" r="15240" b="12065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21F7320" id="Grou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JOrcMAAADaAAAADwAAAGRycy9kb3ducmV2LnhtbESPQWvCQBSE7wX/w/KE3pqNHkSiq4gg&#10;eFChaRG9vWZfs9Hs25BdNfHXdwuFHoeZ+YaZLztbizu1vnKsYJSkIIgLpysuFXx+bN6mIHxA1lg7&#10;JgU9eVguBi9zzLR78Dvd81CKCGGfoQITQpNJ6QtDFn3iGuLofbvWYoiyLaVu8RHhtpbjNJ1IixXH&#10;BYMNrQ0V1/xmFRzH+9HJfF1k7w/P3Tkvz7LXjVKvw241AxGoC//hv/ZWK5jA75V4A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yTq3DAAAA2gAAAA8AAAAAAAAAAAAA&#10;AAAAoQIAAGRycy9kb3ducmV2LnhtbFBLBQYAAAAABAAEAPkAAACRAwAAAAA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wgnMMAAADaAAAADwAAAGRycy9kb3ducmV2LnhtbESPX2vCQBDE3wW/w7GFvumlldqQeooI&#10;xTwV/IPQt21uTYK5vZBbNe2n7wmCj8PM/IaZLXrXqAt1ofZs4GWcgCIuvK25NLDffY5SUEGQLTae&#10;ycAvBVjMh4MZZtZfeUOXrZQqQjhkaKASaTOtQ1GRwzD2LXH0jr5zKFF2pbYdXiPcNfo1SabaYc1x&#10;ocKWVhUVp+3ZGfh26eFtxwdZr38mX3+p5P2yyI15fuqXH6CEenmE7+3cGniH25V4A/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MIJzDAAAA2gAAAA8AAAAAAAAAAAAA&#10;AAAAoQIAAGRycy9kb3ducmV2LnhtbFBLBQYAAAAABAAEAPkAAACRAwAAAAA=&#10;" strokecolor="#438086" strokeweight=".25pt"/>
              <w10:anchorlock/>
            </v:group>
          </w:pict>
        </mc:Fallback>
      </mc:AlternateContent>
    </w:r>
  </w:p>
  <w:p w:rsidR="00D93D5D" w:rsidRDefault="00D93D5D">
    <w:pPr>
      <w:pStyle w:val="NoSpacing"/>
      <w:rPr>
        <w:sz w:val="2"/>
        <w:szCs w:val="2"/>
      </w:rPr>
    </w:pPr>
  </w:p>
  <w:p w:rsidR="00D93D5D" w:rsidRDefault="00D93D5D"/>
  <w:p w:rsidR="00D93D5D" w:rsidRDefault="00D93D5D"/>
  <w:p w:rsidR="00D93D5D" w:rsidRDefault="00D93D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D5D" w:rsidRDefault="00D93D5D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FF1" w:rsidRDefault="00581FF1">
      <w:pPr>
        <w:spacing w:after="0" w:line="240" w:lineRule="auto"/>
      </w:pPr>
      <w:r>
        <w:separator/>
      </w:r>
    </w:p>
  </w:footnote>
  <w:footnote w:type="continuationSeparator" w:id="0">
    <w:p w:rsidR="00581FF1" w:rsidRDefault="00581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9D7"/>
    <w:multiLevelType w:val="hybridMultilevel"/>
    <w:tmpl w:val="4844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A711C"/>
    <w:multiLevelType w:val="hybridMultilevel"/>
    <w:tmpl w:val="191A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80"/>
    <w:rsid w:val="00053EB3"/>
    <w:rsid w:val="000900EF"/>
    <w:rsid w:val="00100FFE"/>
    <w:rsid w:val="00235A2C"/>
    <w:rsid w:val="00283D86"/>
    <w:rsid w:val="002B45C6"/>
    <w:rsid w:val="0030527A"/>
    <w:rsid w:val="004B25F7"/>
    <w:rsid w:val="00555C64"/>
    <w:rsid w:val="00581FF1"/>
    <w:rsid w:val="006D0FEF"/>
    <w:rsid w:val="007803D3"/>
    <w:rsid w:val="00993D7A"/>
    <w:rsid w:val="009D3DF5"/>
    <w:rsid w:val="00A2602D"/>
    <w:rsid w:val="00BB4F0B"/>
    <w:rsid w:val="00BE37FA"/>
    <w:rsid w:val="00C93960"/>
    <w:rsid w:val="00CA7507"/>
    <w:rsid w:val="00CC08AD"/>
    <w:rsid w:val="00D236CA"/>
    <w:rsid w:val="00D50D52"/>
    <w:rsid w:val="00D723A5"/>
    <w:rsid w:val="00D93D5D"/>
    <w:rsid w:val="00DE06D8"/>
    <w:rsid w:val="00E01E7F"/>
    <w:rsid w:val="00E24D81"/>
    <w:rsid w:val="00E937F6"/>
    <w:rsid w:val="00EB49C0"/>
    <w:rsid w:val="00EC117A"/>
    <w:rsid w:val="00ED270D"/>
    <w:rsid w:val="00F57EA7"/>
    <w:rsid w:val="00F87048"/>
    <w:rsid w:val="00FC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7748061-8735-41F8-BDE6-4EFD25CB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spacing w:val="5"/>
      <w:kern w:val="28"/>
      <w:sz w:val="60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283D86"/>
    <w:rPr>
      <w:color w:val="3399FF" w:themeColor="hyperlink"/>
      <w:u w:val="single"/>
    </w:rPr>
  </w:style>
  <w:style w:type="paragraph" w:customStyle="1" w:styleId="3rdHeading">
    <w:name w:val="3rd.Heading"/>
    <w:basedOn w:val="Normal"/>
    <w:link w:val="3rdHeadingChar"/>
    <w:qFormat/>
    <w:rsid w:val="002B45C6"/>
    <w:pPr>
      <w:keepNext/>
      <w:keepLines/>
      <w:spacing w:before="120" w:after="120"/>
      <w:outlineLvl w:val="0"/>
    </w:pPr>
    <w:rPr>
      <w:rFonts w:ascii="Calibri" w:eastAsiaTheme="majorEastAsia" w:hAnsi="Calibri" w:cstheme="majorBidi"/>
      <w:b/>
      <w:bCs/>
      <w:color w:val="42558C" w:themeColor="accent1" w:themeShade="BF"/>
      <w:sz w:val="28"/>
      <w:szCs w:val="28"/>
    </w:rPr>
  </w:style>
  <w:style w:type="character" w:customStyle="1" w:styleId="3rdHeadingChar">
    <w:name w:val="3rd.Heading Char"/>
    <w:basedOn w:val="DefaultParagraphFont"/>
    <w:link w:val="3rdHeading"/>
    <w:rsid w:val="002B45C6"/>
    <w:rPr>
      <w:rFonts w:ascii="Calibri" w:eastAsiaTheme="majorEastAsia" w:hAnsi="Calibri" w:cstheme="majorBidi"/>
      <w:b/>
      <w:bCs/>
      <w:color w:val="42558C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5030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kes\AppData\Roaming\Microsoft\Templates\Executive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Brownfields and Redevelopment Office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83CA12-5842-482C-AF8F-1352C3F1A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99C91F9E-123E-4017-A92E-362853E2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ExecutiveReport.dotx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Greater Minnesota Business Development Public Infrastructure (IBDI) Grant Program</vt:lpstr>
    </vt:vector>
  </TitlesOfParts>
  <Company>DEED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Minnesota Business Development Public Infrastructure (IBDI) Grant Program</dc:title>
  <dc:subject>Minnesota Department of Employment and Economic Development</dc:subject>
  <dc:creator>Kristin Lukes</dc:creator>
  <cp:lastModifiedBy>Software Administration</cp:lastModifiedBy>
  <cp:revision>2</cp:revision>
  <cp:lastPrinted>2016-03-23T19:45:00Z</cp:lastPrinted>
  <dcterms:created xsi:type="dcterms:W3CDTF">2016-03-23T19:48:00Z</dcterms:created>
  <dcterms:modified xsi:type="dcterms:W3CDTF">2016-03-23T19:48:00Z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TC017730589991</vt:lpwstr>
  </property>
</Properties>
</file>