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EC2" w:rsidRPr="0068675F" w:rsidRDefault="00651F42" w:rsidP="005674A8">
      <w:pPr>
        <w:contextualSpacing/>
        <w:jc w:val="center"/>
        <w:rPr>
          <w:rFonts w:asciiTheme="minorHAnsi" w:hAnsiTheme="minorHAnsi" w:cstheme="minorHAnsi"/>
          <w:b/>
          <w:szCs w:val="22"/>
        </w:rPr>
      </w:pPr>
      <w:bookmarkStart w:id="0" w:name="_GoBack"/>
      <w:bookmarkEnd w:id="0"/>
      <w:r w:rsidRPr="0068675F">
        <w:rPr>
          <w:rFonts w:asciiTheme="minorHAnsi" w:hAnsiTheme="minorHAnsi" w:cstheme="minorHAnsi"/>
          <w:b/>
          <w:szCs w:val="22"/>
        </w:rPr>
        <w:t xml:space="preserve">Minnesota </w:t>
      </w:r>
      <w:r w:rsidR="001F5E4C">
        <w:rPr>
          <w:rFonts w:asciiTheme="minorHAnsi" w:hAnsiTheme="minorHAnsi" w:cstheme="minorHAnsi"/>
          <w:b/>
          <w:szCs w:val="22"/>
        </w:rPr>
        <w:t>H1440A7-1</w:t>
      </w:r>
    </w:p>
    <w:p w:rsidR="00D055FE" w:rsidRPr="0068675F" w:rsidRDefault="00D055FE" w:rsidP="005674A8">
      <w:pPr>
        <w:contextualSpacing/>
        <w:jc w:val="center"/>
        <w:rPr>
          <w:rFonts w:asciiTheme="minorHAnsi" w:hAnsiTheme="minorHAnsi" w:cstheme="minorHAnsi"/>
          <w:b/>
          <w:szCs w:val="22"/>
        </w:rPr>
      </w:pPr>
      <w:r w:rsidRPr="0068675F">
        <w:rPr>
          <w:rFonts w:asciiTheme="minorHAnsi" w:hAnsiTheme="minorHAnsi" w:cstheme="minorHAnsi"/>
          <w:b/>
          <w:szCs w:val="22"/>
        </w:rPr>
        <w:t xml:space="preserve">Opioid </w:t>
      </w:r>
      <w:r w:rsidR="00BE3CC9">
        <w:rPr>
          <w:rFonts w:asciiTheme="minorHAnsi" w:hAnsiTheme="minorHAnsi" w:cstheme="minorHAnsi"/>
          <w:b/>
          <w:szCs w:val="22"/>
        </w:rPr>
        <w:t>and Controlled Substance Tax</w:t>
      </w:r>
      <w:r w:rsidR="001F5E4C">
        <w:rPr>
          <w:rFonts w:asciiTheme="minorHAnsi" w:hAnsiTheme="minorHAnsi" w:cstheme="minorHAnsi"/>
          <w:b/>
          <w:szCs w:val="22"/>
        </w:rPr>
        <w:t xml:space="preserve"> Amendment</w:t>
      </w:r>
    </w:p>
    <w:p w:rsidR="00971C90" w:rsidRPr="0068675F" w:rsidRDefault="00BE3CC9" w:rsidP="00E31003">
      <w:pPr>
        <w:widowControl/>
        <w:overflowPunct/>
        <w:contextualSpacing/>
        <w:jc w:val="center"/>
        <w:textAlignment w:val="auto"/>
        <w:rPr>
          <w:rFonts w:asciiTheme="minorHAnsi" w:hAnsiTheme="minorHAnsi" w:cstheme="minorHAnsi"/>
          <w:strike/>
          <w:szCs w:val="22"/>
        </w:rPr>
      </w:pPr>
      <w:r>
        <w:rPr>
          <w:rFonts w:asciiTheme="minorHAnsi" w:hAnsiTheme="minorHAnsi" w:cstheme="minorHAnsi"/>
          <w:b/>
          <w:szCs w:val="22"/>
        </w:rPr>
        <w:t>April 10</w:t>
      </w:r>
      <w:r w:rsidR="00324821" w:rsidRPr="0068675F">
        <w:rPr>
          <w:rFonts w:asciiTheme="minorHAnsi" w:hAnsiTheme="minorHAnsi" w:cstheme="minorHAnsi"/>
          <w:b/>
          <w:szCs w:val="22"/>
        </w:rPr>
        <w:t>, 2018</w:t>
      </w:r>
    </w:p>
    <w:p w:rsidR="002C5F38" w:rsidRPr="0068675F" w:rsidRDefault="002C5F38" w:rsidP="005674A8">
      <w:pPr>
        <w:widowControl/>
        <w:overflowPunct/>
        <w:contextualSpacing/>
        <w:jc w:val="center"/>
        <w:textAlignment w:val="auto"/>
        <w:rPr>
          <w:rFonts w:asciiTheme="minorHAnsi" w:hAnsiTheme="minorHAnsi" w:cstheme="minorHAnsi"/>
          <w:b/>
          <w:szCs w:val="22"/>
        </w:rPr>
      </w:pPr>
    </w:p>
    <w:p w:rsidR="0046610B" w:rsidRDefault="00916EC2" w:rsidP="0068675F">
      <w:pPr>
        <w:widowControl/>
        <w:overflowPunct/>
        <w:contextualSpacing/>
        <w:textAlignment w:val="auto"/>
        <w:rPr>
          <w:rFonts w:asciiTheme="minorHAnsi" w:hAnsiTheme="minorHAnsi" w:cstheme="minorHAnsi"/>
          <w:b/>
          <w:szCs w:val="22"/>
        </w:rPr>
      </w:pPr>
      <w:r w:rsidRPr="0068675F">
        <w:rPr>
          <w:rFonts w:asciiTheme="minorHAnsi" w:hAnsiTheme="minorHAnsi" w:cstheme="minorHAnsi"/>
          <w:b/>
          <w:szCs w:val="22"/>
        </w:rPr>
        <w:t>Position: The Pharmaceutical Research and Manufacturers of America (PhRMA</w:t>
      </w:r>
      <w:r w:rsidR="005E5284" w:rsidRPr="0068675F">
        <w:rPr>
          <w:rFonts w:asciiTheme="minorHAnsi" w:hAnsiTheme="minorHAnsi" w:cstheme="minorHAnsi"/>
          <w:b/>
          <w:szCs w:val="22"/>
        </w:rPr>
        <w:t xml:space="preserve">) </w:t>
      </w:r>
      <w:r w:rsidR="007677F4" w:rsidRPr="0068675F">
        <w:rPr>
          <w:rFonts w:asciiTheme="minorHAnsi" w:hAnsiTheme="minorHAnsi" w:cstheme="minorHAnsi"/>
          <w:b/>
          <w:szCs w:val="22"/>
        </w:rPr>
        <w:t xml:space="preserve">respectfully opposes </w:t>
      </w:r>
      <w:r w:rsidR="008155A4" w:rsidRPr="008155A4">
        <w:rPr>
          <w:rFonts w:asciiTheme="minorHAnsi" w:hAnsiTheme="minorHAnsi" w:cstheme="minorHAnsi"/>
          <w:b/>
          <w:szCs w:val="22"/>
        </w:rPr>
        <w:t>H1440A7-1</w:t>
      </w:r>
      <w:r w:rsidR="00BE3CC9">
        <w:rPr>
          <w:rFonts w:asciiTheme="minorHAnsi" w:hAnsiTheme="minorHAnsi" w:cstheme="minorHAnsi"/>
          <w:b/>
          <w:szCs w:val="22"/>
        </w:rPr>
        <w:t>,</w:t>
      </w:r>
      <w:r w:rsidR="00D055FE" w:rsidRPr="0068675F">
        <w:rPr>
          <w:rFonts w:asciiTheme="minorHAnsi" w:hAnsiTheme="minorHAnsi" w:cstheme="minorHAnsi"/>
          <w:b/>
          <w:szCs w:val="22"/>
        </w:rPr>
        <w:t xml:space="preserve"> which imposes </w:t>
      </w:r>
      <w:r w:rsidR="00BE3CC9">
        <w:rPr>
          <w:rFonts w:asciiTheme="minorHAnsi" w:hAnsiTheme="minorHAnsi" w:cstheme="minorHAnsi"/>
          <w:b/>
          <w:szCs w:val="22"/>
        </w:rPr>
        <w:t>a tax on opiate and controlled substance drug manufacturers to fund the Opioid Addiction Prevention and Treatment Account</w:t>
      </w:r>
      <w:r w:rsidR="00651F42" w:rsidRPr="0068675F">
        <w:rPr>
          <w:rFonts w:asciiTheme="minorHAnsi" w:hAnsiTheme="minorHAnsi" w:cstheme="minorHAnsi"/>
          <w:b/>
          <w:szCs w:val="22"/>
        </w:rPr>
        <w:t>.</w:t>
      </w:r>
      <w:r w:rsidR="00BE3CC9">
        <w:rPr>
          <w:rFonts w:asciiTheme="minorHAnsi" w:hAnsiTheme="minorHAnsi" w:cstheme="minorHAnsi"/>
          <w:b/>
          <w:szCs w:val="22"/>
        </w:rPr>
        <w:t xml:space="preserve"> </w:t>
      </w:r>
    </w:p>
    <w:p w:rsidR="003B6B11" w:rsidRDefault="003B6B11" w:rsidP="0068675F">
      <w:pPr>
        <w:widowControl/>
        <w:overflowPunct/>
        <w:contextualSpacing/>
        <w:textAlignment w:val="auto"/>
        <w:rPr>
          <w:rFonts w:asciiTheme="minorHAnsi" w:hAnsiTheme="minorHAnsi" w:cstheme="minorHAnsi"/>
          <w:szCs w:val="22"/>
        </w:rPr>
      </w:pPr>
    </w:p>
    <w:p w:rsidR="00AE0F99" w:rsidRPr="0068675F" w:rsidRDefault="00EC0AD0" w:rsidP="0068675F">
      <w:pPr>
        <w:widowControl/>
        <w:overflowPunct/>
        <w:contextualSpacing/>
        <w:textAlignment w:val="auto"/>
        <w:rPr>
          <w:rFonts w:asciiTheme="minorHAnsi" w:hAnsiTheme="minorHAnsi" w:cstheme="minorHAnsi"/>
          <w:szCs w:val="22"/>
        </w:rPr>
      </w:pPr>
      <w:r w:rsidRPr="0068675F">
        <w:rPr>
          <w:rFonts w:asciiTheme="minorHAnsi" w:hAnsiTheme="minorHAnsi" w:cstheme="minorHAnsi"/>
          <w:szCs w:val="22"/>
        </w:rPr>
        <w:t xml:space="preserve">PhRMA represents the country’s leading innovative biopharmaceutical research and biotechnology companies, which are devoted to discovering and developing medicines that enable patients to live longer, healthier, and more productive lives. </w:t>
      </w:r>
      <w:r w:rsidR="00D055FE" w:rsidRPr="0068675F">
        <w:rPr>
          <w:rFonts w:asciiTheme="minorHAnsi" w:hAnsiTheme="minorHAnsi" w:cstheme="minorHAnsi"/>
          <w:szCs w:val="22"/>
        </w:rPr>
        <w:t xml:space="preserve">PhRMA supports a comprehensive policy approach to addressing the opioid crisis, including the prevention of overprescribing; efforts to educate patients and prescribers; expanding access to appropriate substance use disorder treatment; and enhancing law enforcement efforts; all while ensuring appropriate patient access to needed medications. </w:t>
      </w:r>
      <w:r w:rsidR="00651F42" w:rsidRPr="0068675F">
        <w:rPr>
          <w:rFonts w:asciiTheme="minorHAnsi" w:hAnsiTheme="minorHAnsi" w:cstheme="minorHAnsi"/>
          <w:szCs w:val="22"/>
        </w:rPr>
        <w:t>Minnesota</w:t>
      </w:r>
      <w:r w:rsidR="00D055FE" w:rsidRPr="0068675F">
        <w:rPr>
          <w:rFonts w:asciiTheme="minorHAnsi" w:hAnsiTheme="minorHAnsi" w:cstheme="minorHAnsi"/>
          <w:szCs w:val="22"/>
        </w:rPr>
        <w:t xml:space="preserve"> has taken a number of important steps in these areas and we look forward to the opportunity to work with policyholders to continue to advance these efforts</w:t>
      </w:r>
      <w:r w:rsidR="00AE0F99" w:rsidRPr="0068675F">
        <w:rPr>
          <w:rFonts w:asciiTheme="minorHAnsi" w:hAnsiTheme="minorHAnsi" w:cstheme="minorHAnsi"/>
          <w:szCs w:val="22"/>
        </w:rPr>
        <w:t>. However, the proposed tax does nothing to address the opioid crisis and sets a dangerous precedent fo</w:t>
      </w:r>
      <w:r w:rsidR="006B7D42">
        <w:rPr>
          <w:rFonts w:asciiTheme="minorHAnsi" w:hAnsiTheme="minorHAnsi" w:cstheme="minorHAnsi"/>
          <w:szCs w:val="22"/>
        </w:rPr>
        <w:t>r taxing</w:t>
      </w:r>
      <w:r w:rsidR="00651F42" w:rsidRPr="0068675F">
        <w:rPr>
          <w:rFonts w:asciiTheme="minorHAnsi" w:hAnsiTheme="minorHAnsi" w:cstheme="minorHAnsi"/>
          <w:szCs w:val="22"/>
        </w:rPr>
        <w:t xml:space="preserve"> prescription drugs</w:t>
      </w:r>
      <w:r w:rsidR="00AE0F99" w:rsidRPr="0068675F">
        <w:rPr>
          <w:rFonts w:asciiTheme="minorHAnsi" w:hAnsiTheme="minorHAnsi" w:cstheme="minorHAnsi"/>
          <w:szCs w:val="22"/>
        </w:rPr>
        <w:t>.</w:t>
      </w:r>
    </w:p>
    <w:p w:rsidR="006B7D42" w:rsidRDefault="006B7D42" w:rsidP="0068675F">
      <w:pPr>
        <w:contextualSpacing/>
        <w:rPr>
          <w:rFonts w:asciiTheme="minorHAnsi" w:hAnsiTheme="minorHAnsi" w:cstheme="minorHAnsi"/>
          <w:b/>
          <w:szCs w:val="22"/>
        </w:rPr>
      </w:pPr>
    </w:p>
    <w:p w:rsidR="00314121" w:rsidRDefault="00314121" w:rsidP="00314121">
      <w:pPr>
        <w:contextualSpacing/>
        <w:rPr>
          <w:rFonts w:asciiTheme="minorHAnsi" w:hAnsiTheme="minorHAnsi" w:cstheme="minorHAnsi"/>
          <w:b/>
          <w:szCs w:val="22"/>
        </w:rPr>
      </w:pPr>
      <w:r>
        <w:rPr>
          <w:rFonts w:asciiTheme="minorHAnsi" w:hAnsiTheme="minorHAnsi" w:cstheme="minorHAnsi"/>
          <w:b/>
          <w:szCs w:val="22"/>
        </w:rPr>
        <w:t xml:space="preserve">The proposed controlled substance registration fee far </w:t>
      </w:r>
      <w:r w:rsidR="002A59D1">
        <w:rPr>
          <w:rFonts w:asciiTheme="minorHAnsi" w:hAnsiTheme="minorHAnsi" w:cstheme="minorHAnsi"/>
          <w:b/>
          <w:szCs w:val="22"/>
        </w:rPr>
        <w:t xml:space="preserve">exceeds </w:t>
      </w:r>
      <w:r>
        <w:rPr>
          <w:rFonts w:asciiTheme="minorHAnsi" w:hAnsiTheme="minorHAnsi" w:cstheme="minorHAnsi"/>
          <w:b/>
          <w:szCs w:val="22"/>
        </w:rPr>
        <w:t xml:space="preserve">the </w:t>
      </w:r>
      <w:r w:rsidR="002A59D1">
        <w:rPr>
          <w:rFonts w:asciiTheme="minorHAnsi" w:hAnsiTheme="minorHAnsi" w:cstheme="minorHAnsi"/>
          <w:b/>
          <w:szCs w:val="22"/>
        </w:rPr>
        <w:t xml:space="preserve">standard amount </w:t>
      </w:r>
      <w:r>
        <w:rPr>
          <w:rFonts w:asciiTheme="minorHAnsi" w:hAnsiTheme="minorHAnsi" w:cstheme="minorHAnsi"/>
          <w:b/>
          <w:szCs w:val="22"/>
        </w:rPr>
        <w:t>for a controlled substance registration fee in states and should be considered a tax on prescription drug manufacturers.</w:t>
      </w:r>
    </w:p>
    <w:p w:rsidR="00314121" w:rsidRDefault="00314121" w:rsidP="00314121">
      <w:pPr>
        <w:contextualSpacing/>
        <w:rPr>
          <w:rFonts w:asciiTheme="minorHAnsi" w:hAnsiTheme="minorHAnsi" w:cstheme="minorHAnsi"/>
          <w:b/>
          <w:szCs w:val="22"/>
        </w:rPr>
      </w:pPr>
    </w:p>
    <w:p w:rsidR="00314121" w:rsidRPr="00314121" w:rsidRDefault="00314121" w:rsidP="00314121">
      <w:pPr>
        <w:contextualSpacing/>
        <w:rPr>
          <w:rFonts w:asciiTheme="minorHAnsi" w:hAnsiTheme="minorHAnsi" w:cstheme="minorHAnsi"/>
          <w:szCs w:val="22"/>
        </w:rPr>
      </w:pPr>
      <w:r w:rsidRPr="00314121">
        <w:rPr>
          <w:rFonts w:asciiTheme="minorHAnsi" w:hAnsiTheme="minorHAnsi" w:cstheme="minorHAnsi"/>
          <w:szCs w:val="22"/>
        </w:rPr>
        <w:t>Several states have a controlled substance registration</w:t>
      </w:r>
      <w:r>
        <w:rPr>
          <w:rFonts w:asciiTheme="minorHAnsi" w:hAnsiTheme="minorHAnsi" w:cstheme="minorHAnsi"/>
          <w:szCs w:val="22"/>
        </w:rPr>
        <w:t xml:space="preserve"> fee</w:t>
      </w:r>
      <w:r w:rsidRPr="00314121">
        <w:rPr>
          <w:rFonts w:asciiTheme="minorHAnsi" w:hAnsiTheme="minorHAnsi" w:cstheme="minorHAnsi"/>
          <w:szCs w:val="22"/>
        </w:rPr>
        <w:t xml:space="preserve">, but </w:t>
      </w:r>
      <w:r>
        <w:rPr>
          <w:rFonts w:asciiTheme="minorHAnsi" w:hAnsiTheme="minorHAnsi" w:cstheme="minorHAnsi"/>
          <w:szCs w:val="22"/>
        </w:rPr>
        <w:t>the fee</w:t>
      </w:r>
      <w:r w:rsidRPr="00314121">
        <w:rPr>
          <w:rFonts w:asciiTheme="minorHAnsi" w:hAnsiTheme="minorHAnsi" w:cstheme="minorHAnsi"/>
          <w:szCs w:val="22"/>
        </w:rPr>
        <w:t xml:space="preserve"> </w:t>
      </w:r>
      <w:r w:rsidR="00454A8A">
        <w:rPr>
          <w:rFonts w:asciiTheme="minorHAnsi" w:hAnsiTheme="minorHAnsi" w:cstheme="minorHAnsi"/>
          <w:szCs w:val="22"/>
        </w:rPr>
        <w:t xml:space="preserve">is nominal and </w:t>
      </w:r>
      <w:r w:rsidRPr="00314121">
        <w:rPr>
          <w:rFonts w:asciiTheme="minorHAnsi" w:hAnsiTheme="minorHAnsi" w:cstheme="minorHAnsi"/>
          <w:szCs w:val="22"/>
        </w:rPr>
        <w:t xml:space="preserve">applies more broadly to all entities in the supply chain that </w:t>
      </w:r>
      <w:r>
        <w:rPr>
          <w:rFonts w:asciiTheme="minorHAnsi" w:hAnsiTheme="minorHAnsi" w:cstheme="minorHAnsi"/>
          <w:szCs w:val="22"/>
        </w:rPr>
        <w:t xml:space="preserve">encounter a controlled substance. For example, Iowa has a biennial fee of $90 for entities and individuals who </w:t>
      </w:r>
      <w:r w:rsidRPr="00314121">
        <w:rPr>
          <w:rFonts w:asciiTheme="minorHAnsi" w:hAnsiTheme="minorHAnsi" w:cstheme="minorHAnsi"/>
          <w:szCs w:val="22"/>
        </w:rPr>
        <w:t>manufacture, distribute, dispense, conduct research or instructional activities and conduct chemical analysis with controlled substances</w:t>
      </w:r>
      <w:r w:rsidR="001F5E4C">
        <w:rPr>
          <w:rFonts w:asciiTheme="minorHAnsi" w:hAnsiTheme="minorHAnsi" w:cstheme="minorHAnsi"/>
          <w:szCs w:val="22"/>
        </w:rPr>
        <w:t xml:space="preserve">. The fees collected by states with these types of registration fees are typically used to fund the costs associated with the administration and processing of the registration, not as a revenue source for other state programs. As the proposed registration fees are astronomically higher (i.e., up to $150,000) than </w:t>
      </w:r>
      <w:r w:rsidR="007C181E">
        <w:rPr>
          <w:rFonts w:asciiTheme="minorHAnsi" w:hAnsiTheme="minorHAnsi" w:cstheme="minorHAnsi"/>
          <w:szCs w:val="22"/>
        </w:rPr>
        <w:t xml:space="preserve">the </w:t>
      </w:r>
      <w:r w:rsidR="001F5E4C">
        <w:rPr>
          <w:rFonts w:asciiTheme="minorHAnsi" w:hAnsiTheme="minorHAnsi" w:cstheme="minorHAnsi"/>
          <w:szCs w:val="22"/>
        </w:rPr>
        <w:t>cost of administering the registration</w:t>
      </w:r>
      <w:r w:rsidR="007C181E">
        <w:rPr>
          <w:rFonts w:asciiTheme="minorHAnsi" w:hAnsiTheme="minorHAnsi" w:cstheme="minorHAnsi"/>
          <w:szCs w:val="22"/>
        </w:rPr>
        <w:t xml:space="preserve"> and based on volume dispensed in the state</w:t>
      </w:r>
      <w:r w:rsidR="001F5E4C">
        <w:rPr>
          <w:rFonts w:asciiTheme="minorHAnsi" w:hAnsiTheme="minorHAnsi" w:cstheme="minorHAnsi"/>
          <w:szCs w:val="22"/>
        </w:rPr>
        <w:t xml:space="preserve">, the registration fee should be considered a tax on prescription drug manufacturers. </w:t>
      </w:r>
    </w:p>
    <w:p w:rsidR="00314121" w:rsidRDefault="00314121" w:rsidP="0068675F">
      <w:pPr>
        <w:contextualSpacing/>
        <w:rPr>
          <w:rFonts w:asciiTheme="minorHAnsi" w:hAnsiTheme="minorHAnsi" w:cstheme="minorHAnsi"/>
          <w:b/>
          <w:szCs w:val="22"/>
        </w:rPr>
      </w:pPr>
    </w:p>
    <w:p w:rsidR="007C181E" w:rsidRDefault="007C181E">
      <w:pPr>
        <w:widowControl/>
        <w:overflowPunct/>
        <w:autoSpaceDE/>
        <w:autoSpaceDN/>
        <w:adjustRightInd/>
        <w:spacing w:after="200"/>
        <w:textAlignment w:val="auto"/>
        <w:rPr>
          <w:rFonts w:asciiTheme="minorHAnsi" w:hAnsiTheme="minorHAnsi" w:cstheme="minorHAnsi"/>
          <w:b/>
          <w:szCs w:val="22"/>
        </w:rPr>
      </w:pPr>
      <w:r>
        <w:rPr>
          <w:rFonts w:asciiTheme="minorHAnsi" w:hAnsiTheme="minorHAnsi" w:cstheme="minorHAnsi"/>
          <w:b/>
          <w:szCs w:val="22"/>
        </w:rPr>
        <w:br w:type="page"/>
      </w:r>
    </w:p>
    <w:p w:rsidR="006B7D42" w:rsidRDefault="00712793" w:rsidP="0068675F">
      <w:pPr>
        <w:contextualSpacing/>
        <w:rPr>
          <w:rFonts w:asciiTheme="minorHAnsi" w:hAnsiTheme="minorHAnsi" w:cstheme="minorHAnsi"/>
          <w:b/>
          <w:szCs w:val="22"/>
        </w:rPr>
      </w:pPr>
      <w:r>
        <w:rPr>
          <w:rFonts w:asciiTheme="minorHAnsi" w:hAnsiTheme="minorHAnsi" w:cstheme="minorHAnsi"/>
          <w:b/>
          <w:szCs w:val="22"/>
        </w:rPr>
        <w:lastRenderedPageBreak/>
        <w:t xml:space="preserve">While Article 2 purports to be a funding mechanism for the Prescription Monitoring Program, the annual </w:t>
      </w:r>
      <w:r w:rsidR="00A0186A">
        <w:rPr>
          <w:rFonts w:asciiTheme="minorHAnsi" w:hAnsiTheme="minorHAnsi" w:cstheme="minorHAnsi"/>
          <w:b/>
          <w:szCs w:val="22"/>
        </w:rPr>
        <w:t xml:space="preserve">opiate and controlled substance </w:t>
      </w:r>
      <w:r>
        <w:rPr>
          <w:rFonts w:asciiTheme="minorHAnsi" w:hAnsiTheme="minorHAnsi" w:cstheme="minorHAnsi"/>
          <w:b/>
          <w:szCs w:val="22"/>
        </w:rPr>
        <w:t>registration fee</w:t>
      </w:r>
      <w:r w:rsidR="00A0186A">
        <w:rPr>
          <w:rFonts w:asciiTheme="minorHAnsi" w:hAnsiTheme="minorHAnsi" w:cstheme="minorHAnsi"/>
          <w:b/>
          <w:szCs w:val="22"/>
        </w:rPr>
        <w:t>s are</w:t>
      </w:r>
      <w:r>
        <w:rPr>
          <w:rFonts w:asciiTheme="minorHAnsi" w:hAnsiTheme="minorHAnsi" w:cstheme="minorHAnsi"/>
          <w:b/>
          <w:szCs w:val="22"/>
        </w:rPr>
        <w:t xml:space="preserve"> a funding mechanism for the Opioid Addiction Prevention and Treatment Account.</w:t>
      </w:r>
    </w:p>
    <w:p w:rsidR="00712793" w:rsidRDefault="00712793" w:rsidP="0068675F">
      <w:pPr>
        <w:contextualSpacing/>
        <w:rPr>
          <w:rFonts w:asciiTheme="minorHAnsi" w:hAnsiTheme="minorHAnsi" w:cstheme="minorHAnsi"/>
          <w:b/>
          <w:szCs w:val="22"/>
        </w:rPr>
      </w:pPr>
    </w:p>
    <w:p w:rsidR="00712793" w:rsidRPr="00712793" w:rsidRDefault="0087249D" w:rsidP="0068675F">
      <w:pPr>
        <w:contextualSpacing/>
        <w:rPr>
          <w:rFonts w:asciiTheme="minorHAnsi" w:hAnsiTheme="minorHAnsi" w:cstheme="minorHAnsi"/>
          <w:szCs w:val="22"/>
        </w:rPr>
      </w:pPr>
      <w:r>
        <w:rPr>
          <w:rFonts w:asciiTheme="minorHAnsi" w:hAnsiTheme="minorHAnsi" w:cstheme="minorHAnsi"/>
          <w:szCs w:val="22"/>
        </w:rPr>
        <w:t>Revenue from the annual controlled substance registration fee</w:t>
      </w:r>
      <w:r w:rsidR="001F5E4C">
        <w:rPr>
          <w:rFonts w:asciiTheme="minorHAnsi" w:hAnsiTheme="minorHAnsi" w:cstheme="minorHAnsi"/>
          <w:szCs w:val="22"/>
        </w:rPr>
        <w:t xml:space="preserve"> for both opiate and controlled substance registrations</w:t>
      </w:r>
      <w:r>
        <w:rPr>
          <w:rFonts w:asciiTheme="minorHAnsi" w:hAnsiTheme="minorHAnsi" w:cstheme="minorHAnsi"/>
          <w:szCs w:val="22"/>
        </w:rPr>
        <w:t xml:space="preserve"> is deposited into the Opioid Addiction Prevention and Treatment Account, with no provision or indication that the funds would be dedicated or limited to funding the Prescription Monitoring Program. </w:t>
      </w:r>
      <w:r w:rsidR="001F5E4C">
        <w:rPr>
          <w:rFonts w:asciiTheme="minorHAnsi" w:hAnsiTheme="minorHAnsi" w:cstheme="minorHAnsi"/>
          <w:szCs w:val="22"/>
        </w:rPr>
        <w:t>This sets a dangerous precedent that</w:t>
      </w:r>
      <w:r w:rsidR="007C181E">
        <w:rPr>
          <w:rFonts w:asciiTheme="minorHAnsi" w:hAnsiTheme="minorHAnsi" w:cstheme="minorHAnsi"/>
          <w:szCs w:val="22"/>
        </w:rPr>
        <w:t xml:space="preserve"> prescription drugs lawfully prescribed to a patient can be taxed to generate revenue for the state. </w:t>
      </w:r>
    </w:p>
    <w:p w:rsidR="006B7D42" w:rsidRDefault="006B7D42" w:rsidP="0068675F">
      <w:pPr>
        <w:contextualSpacing/>
        <w:rPr>
          <w:rFonts w:asciiTheme="minorHAnsi" w:hAnsiTheme="minorHAnsi" w:cstheme="minorHAnsi"/>
          <w:b/>
          <w:szCs w:val="22"/>
        </w:rPr>
      </w:pPr>
    </w:p>
    <w:p w:rsidR="006B7D42" w:rsidRDefault="006B7D42" w:rsidP="0068675F">
      <w:pPr>
        <w:contextualSpacing/>
        <w:rPr>
          <w:rFonts w:asciiTheme="minorHAnsi" w:hAnsiTheme="minorHAnsi" w:cstheme="minorHAnsi"/>
          <w:b/>
          <w:szCs w:val="22"/>
        </w:rPr>
      </w:pPr>
      <w:r>
        <w:rPr>
          <w:rFonts w:asciiTheme="minorHAnsi" w:hAnsiTheme="minorHAnsi" w:cstheme="minorHAnsi"/>
          <w:b/>
          <w:szCs w:val="22"/>
        </w:rPr>
        <w:t>It is unclear why an additional tax is nee</w:t>
      </w:r>
      <w:r w:rsidR="00E67411">
        <w:rPr>
          <w:rFonts w:asciiTheme="minorHAnsi" w:hAnsiTheme="minorHAnsi" w:cstheme="minorHAnsi"/>
          <w:b/>
          <w:szCs w:val="22"/>
        </w:rPr>
        <w:t>ded when the HF1440 includes $3</w:t>
      </w:r>
      <w:r>
        <w:rPr>
          <w:rFonts w:asciiTheme="minorHAnsi" w:hAnsiTheme="minorHAnsi" w:cstheme="minorHAnsi"/>
          <w:b/>
          <w:szCs w:val="22"/>
        </w:rPr>
        <w:t xml:space="preserve">.5 million of funding </w:t>
      </w:r>
      <w:r w:rsidR="00E67411">
        <w:rPr>
          <w:rFonts w:asciiTheme="minorHAnsi" w:hAnsiTheme="minorHAnsi" w:cstheme="minorHAnsi"/>
          <w:b/>
          <w:szCs w:val="22"/>
        </w:rPr>
        <w:t>specifically for Prescription Monitoring Program improvements and millions more to fund opioid prevention and treatment programs. Additionally, p</w:t>
      </w:r>
      <w:r>
        <w:rPr>
          <w:rFonts w:asciiTheme="minorHAnsi" w:hAnsiTheme="minorHAnsi" w:cstheme="minorHAnsi"/>
          <w:b/>
          <w:szCs w:val="22"/>
        </w:rPr>
        <w:t>rescription drug manufacturers remit hundreds of millions of dollars to Minnesota annually in the form of Medicaid rebates</w:t>
      </w:r>
      <w:r w:rsidR="00E67411">
        <w:rPr>
          <w:rFonts w:asciiTheme="minorHAnsi" w:hAnsiTheme="minorHAnsi" w:cstheme="minorHAnsi"/>
          <w:b/>
          <w:szCs w:val="22"/>
        </w:rPr>
        <w:t xml:space="preserve"> that can be used if additio</w:t>
      </w:r>
      <w:r w:rsidR="00C05CF8">
        <w:rPr>
          <w:rFonts w:asciiTheme="minorHAnsi" w:hAnsiTheme="minorHAnsi" w:cstheme="minorHAnsi"/>
          <w:b/>
          <w:szCs w:val="22"/>
        </w:rPr>
        <w:t>nal funds are needed</w:t>
      </w:r>
      <w:r>
        <w:rPr>
          <w:rFonts w:asciiTheme="minorHAnsi" w:hAnsiTheme="minorHAnsi" w:cstheme="minorHAnsi"/>
          <w:b/>
          <w:szCs w:val="22"/>
        </w:rPr>
        <w:t>.</w:t>
      </w:r>
    </w:p>
    <w:p w:rsidR="007C181E" w:rsidRDefault="007C181E" w:rsidP="0068675F">
      <w:pPr>
        <w:contextualSpacing/>
        <w:rPr>
          <w:rFonts w:asciiTheme="minorHAnsi" w:hAnsiTheme="minorHAnsi" w:cstheme="minorHAnsi"/>
          <w:b/>
          <w:szCs w:val="22"/>
        </w:rPr>
      </w:pPr>
    </w:p>
    <w:p w:rsidR="007C181E" w:rsidRDefault="007C181E" w:rsidP="0068675F">
      <w:pPr>
        <w:contextualSpacing/>
        <w:rPr>
          <w:rFonts w:asciiTheme="minorHAnsi" w:hAnsiTheme="minorHAnsi" w:cstheme="minorHAnsi"/>
          <w:szCs w:val="22"/>
        </w:rPr>
      </w:pPr>
      <w:r w:rsidRPr="007C181E">
        <w:rPr>
          <w:rFonts w:asciiTheme="minorHAnsi" w:hAnsiTheme="minorHAnsi" w:cstheme="minorHAnsi"/>
          <w:szCs w:val="22"/>
        </w:rPr>
        <w:t xml:space="preserve">HF1440 </w:t>
      </w:r>
      <w:r>
        <w:rPr>
          <w:rFonts w:asciiTheme="minorHAnsi" w:hAnsiTheme="minorHAnsi" w:cstheme="minorHAnsi"/>
          <w:szCs w:val="22"/>
        </w:rPr>
        <w:t xml:space="preserve">currently includes a $3.5 million appropriation to the Board of Pharmacy to make improvements to Prescription Monitoring Program. </w:t>
      </w:r>
      <w:r w:rsidR="00E67411">
        <w:rPr>
          <w:rFonts w:asciiTheme="minorHAnsi" w:hAnsiTheme="minorHAnsi" w:cstheme="minorHAnsi"/>
          <w:szCs w:val="22"/>
        </w:rPr>
        <w:t xml:space="preserve">Based on presentations the Board of Pharmacy’s has made during this legislative session on additional revenue needed to update the Prescription Monitoring Program, the current $3.5 million appropriation included in HF1440 covers the requested expense. </w:t>
      </w:r>
      <w:r w:rsidR="00EC54E9">
        <w:rPr>
          <w:rFonts w:asciiTheme="minorHAnsi" w:hAnsiTheme="minorHAnsi" w:cstheme="minorHAnsi"/>
          <w:szCs w:val="22"/>
        </w:rPr>
        <w:t>Thus, any revenue from the registration tax would be used to fund programs and activities other than the Prescription Monitoring Program.</w:t>
      </w:r>
    </w:p>
    <w:p w:rsidR="00EC54E9" w:rsidRDefault="00EC54E9" w:rsidP="0068675F">
      <w:pPr>
        <w:contextualSpacing/>
        <w:rPr>
          <w:rFonts w:asciiTheme="minorHAnsi" w:hAnsiTheme="minorHAnsi" w:cstheme="minorHAnsi"/>
          <w:szCs w:val="22"/>
        </w:rPr>
      </w:pPr>
    </w:p>
    <w:p w:rsidR="00EC54E9" w:rsidRDefault="00EC54E9" w:rsidP="0068675F">
      <w:pPr>
        <w:contextualSpacing/>
        <w:rPr>
          <w:rFonts w:asciiTheme="minorHAnsi" w:hAnsiTheme="minorHAnsi" w:cstheme="minorHAnsi"/>
          <w:szCs w:val="22"/>
        </w:rPr>
      </w:pPr>
      <w:r>
        <w:rPr>
          <w:rFonts w:asciiTheme="minorHAnsi" w:hAnsiTheme="minorHAnsi" w:cstheme="minorHAnsi"/>
          <w:szCs w:val="22"/>
        </w:rPr>
        <w:t>In FFY2016, prescription drug manufacturers paid approximately $250 million back to the State in manufacturer rebates</w:t>
      </w:r>
      <w:r w:rsidR="006718BF">
        <w:rPr>
          <w:rFonts w:asciiTheme="minorHAnsi" w:hAnsiTheme="minorHAnsi" w:cstheme="minorHAnsi"/>
          <w:szCs w:val="22"/>
        </w:rPr>
        <w:t xml:space="preserve"> for the Medicaid program</w:t>
      </w:r>
      <w:r>
        <w:rPr>
          <w:rFonts w:asciiTheme="minorHAnsi" w:hAnsiTheme="minorHAnsi" w:cstheme="minorHAnsi"/>
          <w:szCs w:val="22"/>
        </w:rPr>
        <w:t>.</w:t>
      </w:r>
      <w:r w:rsidR="006718BF">
        <w:rPr>
          <w:rStyle w:val="FootnoteReference"/>
          <w:rFonts w:asciiTheme="minorHAnsi" w:hAnsiTheme="minorHAnsi" w:cstheme="minorHAnsi"/>
          <w:szCs w:val="22"/>
        </w:rPr>
        <w:footnoteReference w:id="1"/>
      </w:r>
      <w:r w:rsidR="006718BF">
        <w:rPr>
          <w:rFonts w:asciiTheme="minorHAnsi" w:hAnsiTheme="minorHAnsi" w:cstheme="minorHAnsi"/>
          <w:szCs w:val="22"/>
        </w:rPr>
        <w:t xml:space="preserve"> This amount represents a 53% discount returned to the State in the form of prescription drug rebates. If additional </w:t>
      </w:r>
      <w:r w:rsidR="00454A8A">
        <w:rPr>
          <w:rFonts w:asciiTheme="minorHAnsi" w:hAnsiTheme="minorHAnsi" w:cstheme="minorHAnsi"/>
          <w:szCs w:val="22"/>
        </w:rPr>
        <w:t>revenue is</w:t>
      </w:r>
      <w:r w:rsidR="006718BF">
        <w:rPr>
          <w:rFonts w:asciiTheme="minorHAnsi" w:hAnsiTheme="minorHAnsi" w:cstheme="minorHAnsi"/>
          <w:szCs w:val="22"/>
        </w:rPr>
        <w:t xml:space="preserve"> needed to fund programs and activities in the state, PhRMA would strongly urge legislators to use the Medicaid rebate dollars that are currently returned to the General Fund instead of taxing prescription drug manufacturers.</w:t>
      </w:r>
      <w:r>
        <w:rPr>
          <w:rFonts w:asciiTheme="minorHAnsi" w:hAnsiTheme="minorHAnsi" w:cstheme="minorHAnsi"/>
          <w:szCs w:val="22"/>
        </w:rPr>
        <w:t xml:space="preserve"> </w:t>
      </w:r>
    </w:p>
    <w:p w:rsidR="006B7D42" w:rsidRDefault="006B7D42" w:rsidP="0068675F">
      <w:pPr>
        <w:contextualSpacing/>
        <w:rPr>
          <w:rFonts w:asciiTheme="minorHAnsi" w:hAnsiTheme="minorHAnsi" w:cstheme="minorHAnsi"/>
          <w:b/>
          <w:szCs w:val="22"/>
        </w:rPr>
      </w:pPr>
    </w:p>
    <w:p w:rsidR="00324821" w:rsidRPr="0068675F" w:rsidRDefault="00EC54E9" w:rsidP="0068675F">
      <w:pPr>
        <w:contextualSpacing/>
        <w:rPr>
          <w:rFonts w:asciiTheme="minorHAnsi" w:hAnsiTheme="minorHAnsi" w:cstheme="minorHAnsi"/>
          <w:b/>
          <w:szCs w:val="22"/>
        </w:rPr>
      </w:pPr>
      <w:r>
        <w:rPr>
          <w:rFonts w:asciiTheme="minorHAnsi" w:hAnsiTheme="minorHAnsi" w:cstheme="minorHAnsi"/>
          <w:b/>
          <w:szCs w:val="22"/>
        </w:rPr>
        <w:t xml:space="preserve">A tax on </w:t>
      </w:r>
      <w:r w:rsidR="002920FC" w:rsidRPr="0068675F">
        <w:rPr>
          <w:rFonts w:asciiTheme="minorHAnsi" w:hAnsiTheme="minorHAnsi" w:cstheme="minorHAnsi"/>
          <w:b/>
          <w:szCs w:val="22"/>
        </w:rPr>
        <w:t>prescription drugs</w:t>
      </w:r>
      <w:r w:rsidR="00AE0F99" w:rsidRPr="0068675F">
        <w:rPr>
          <w:rFonts w:asciiTheme="minorHAnsi" w:hAnsiTheme="minorHAnsi" w:cstheme="minorHAnsi"/>
          <w:b/>
          <w:szCs w:val="22"/>
        </w:rPr>
        <w:t xml:space="preserve"> </w:t>
      </w:r>
      <w:r w:rsidR="001D555E">
        <w:rPr>
          <w:rFonts w:asciiTheme="minorHAnsi" w:hAnsiTheme="minorHAnsi" w:cstheme="minorHAnsi"/>
          <w:b/>
          <w:szCs w:val="22"/>
        </w:rPr>
        <w:t>may be</w:t>
      </w:r>
      <w:r w:rsidR="001D555E" w:rsidRPr="0068675F">
        <w:rPr>
          <w:rFonts w:asciiTheme="minorHAnsi" w:hAnsiTheme="minorHAnsi" w:cstheme="minorHAnsi"/>
          <w:b/>
          <w:szCs w:val="22"/>
        </w:rPr>
        <w:t xml:space="preserve"> </w:t>
      </w:r>
      <w:r w:rsidR="002920FC" w:rsidRPr="0068675F">
        <w:rPr>
          <w:rFonts w:asciiTheme="minorHAnsi" w:hAnsiTheme="minorHAnsi" w:cstheme="minorHAnsi"/>
          <w:b/>
          <w:szCs w:val="22"/>
        </w:rPr>
        <w:t>prohibited by Medicare and</w:t>
      </w:r>
      <w:r w:rsidR="00651F42" w:rsidRPr="0068675F">
        <w:rPr>
          <w:rFonts w:asciiTheme="minorHAnsi" w:hAnsiTheme="minorHAnsi" w:cstheme="minorHAnsi"/>
          <w:b/>
          <w:szCs w:val="22"/>
        </w:rPr>
        <w:t xml:space="preserve"> jeopardizes federal Medicaid payments</w:t>
      </w:r>
      <w:r w:rsidR="00AE0F99" w:rsidRPr="0068675F">
        <w:rPr>
          <w:rFonts w:asciiTheme="minorHAnsi" w:hAnsiTheme="minorHAnsi" w:cstheme="minorHAnsi"/>
          <w:b/>
          <w:szCs w:val="22"/>
        </w:rPr>
        <w:t>.</w:t>
      </w:r>
    </w:p>
    <w:p w:rsidR="00AE0F99" w:rsidRPr="0068675F" w:rsidRDefault="00AE0F99" w:rsidP="0068675F">
      <w:pPr>
        <w:contextualSpacing/>
        <w:rPr>
          <w:rFonts w:asciiTheme="minorHAnsi" w:hAnsiTheme="minorHAnsi" w:cstheme="minorHAnsi"/>
          <w:szCs w:val="22"/>
        </w:rPr>
      </w:pPr>
    </w:p>
    <w:p w:rsidR="002920FC" w:rsidRPr="0068675F" w:rsidRDefault="002920FC" w:rsidP="0068675F">
      <w:pPr>
        <w:contextualSpacing/>
        <w:rPr>
          <w:rFonts w:asciiTheme="minorHAnsi" w:hAnsiTheme="minorHAnsi" w:cstheme="minorHAnsi"/>
          <w:szCs w:val="22"/>
        </w:rPr>
      </w:pPr>
      <w:r w:rsidRPr="0068675F">
        <w:rPr>
          <w:rFonts w:asciiTheme="minorHAnsi" w:hAnsiTheme="minorHAnsi" w:cstheme="minorHAnsi"/>
          <w:szCs w:val="22"/>
        </w:rPr>
        <w:t xml:space="preserve">Federal </w:t>
      </w:r>
      <w:r w:rsidR="001D555E">
        <w:rPr>
          <w:rFonts w:asciiTheme="minorHAnsi" w:hAnsiTheme="minorHAnsi" w:cstheme="minorHAnsi"/>
          <w:szCs w:val="22"/>
        </w:rPr>
        <w:t>regulations</w:t>
      </w:r>
      <w:r w:rsidR="001D555E" w:rsidRPr="0068675F">
        <w:rPr>
          <w:rFonts w:asciiTheme="minorHAnsi" w:hAnsiTheme="minorHAnsi" w:cstheme="minorHAnsi"/>
          <w:szCs w:val="22"/>
        </w:rPr>
        <w:t xml:space="preserve"> </w:t>
      </w:r>
      <w:r w:rsidRPr="0068675F">
        <w:rPr>
          <w:rFonts w:asciiTheme="minorHAnsi" w:hAnsiTheme="minorHAnsi" w:cstheme="minorHAnsi"/>
          <w:szCs w:val="22"/>
        </w:rPr>
        <w:t xml:space="preserve">prohibit states from imposing a “premium, tax, fee or other similar assessment” on any payment the Centers for Medicare and Medicaid Services (CMS) makes on behalf of Medicare Part D plans or enrollees under 42 CFR 423.440. </w:t>
      </w:r>
    </w:p>
    <w:p w:rsidR="002920FC" w:rsidRPr="0068675F" w:rsidRDefault="002920FC" w:rsidP="0068675F">
      <w:pPr>
        <w:contextualSpacing/>
        <w:rPr>
          <w:rFonts w:asciiTheme="minorHAnsi" w:hAnsiTheme="minorHAnsi" w:cstheme="minorHAnsi"/>
          <w:szCs w:val="22"/>
        </w:rPr>
      </w:pPr>
    </w:p>
    <w:p w:rsidR="00EC54E9" w:rsidRDefault="00531E56" w:rsidP="0068675F">
      <w:pPr>
        <w:contextualSpacing/>
        <w:rPr>
          <w:rFonts w:asciiTheme="minorHAnsi" w:hAnsiTheme="minorHAnsi" w:cstheme="minorHAnsi"/>
          <w:b/>
          <w:szCs w:val="22"/>
        </w:rPr>
      </w:pPr>
      <w:r w:rsidRPr="0068675F">
        <w:rPr>
          <w:rFonts w:asciiTheme="minorHAnsi" w:hAnsiTheme="minorHAnsi" w:cstheme="minorHAnsi"/>
          <w:szCs w:val="22"/>
        </w:rPr>
        <w:t xml:space="preserve">In addition, </w:t>
      </w:r>
      <w:r w:rsidR="002920FC" w:rsidRPr="0068675F">
        <w:rPr>
          <w:rFonts w:asciiTheme="minorHAnsi" w:hAnsiTheme="minorHAnsi" w:cstheme="minorHAnsi"/>
          <w:szCs w:val="22"/>
        </w:rPr>
        <w:t xml:space="preserve">taxing Medicaid payments on prescription drugs may jeopardize funds the State receives from the federal government for the Medicaid program. </w:t>
      </w:r>
      <w:r w:rsidRPr="0068675F">
        <w:rPr>
          <w:rFonts w:asciiTheme="minorHAnsi" w:hAnsiTheme="minorHAnsi" w:cstheme="minorHAnsi"/>
          <w:szCs w:val="22"/>
        </w:rPr>
        <w:t xml:space="preserve">Revenue from </w:t>
      </w:r>
      <w:r w:rsidRPr="0068675F">
        <w:rPr>
          <w:rFonts w:asciiTheme="minorHAnsi" w:hAnsiTheme="minorHAnsi" w:cstheme="minorHAnsi"/>
          <w:b/>
          <w:szCs w:val="22"/>
          <w:u w:val="single"/>
        </w:rPr>
        <w:t xml:space="preserve">the tax may ultimately go towards reducing the federal government’s Medicaid payment obligations to </w:t>
      </w:r>
      <w:r w:rsidR="00651F42" w:rsidRPr="0068675F">
        <w:rPr>
          <w:rFonts w:asciiTheme="minorHAnsi" w:hAnsiTheme="minorHAnsi" w:cstheme="minorHAnsi"/>
          <w:b/>
          <w:szCs w:val="22"/>
          <w:u w:val="single"/>
        </w:rPr>
        <w:t>Minnesota</w:t>
      </w:r>
      <w:r w:rsidR="002920FC" w:rsidRPr="0068675F">
        <w:rPr>
          <w:rFonts w:asciiTheme="minorHAnsi" w:hAnsiTheme="minorHAnsi" w:cstheme="minorHAnsi"/>
          <w:szCs w:val="22"/>
        </w:rPr>
        <w:t xml:space="preserve">. </w:t>
      </w:r>
      <w:r w:rsidRPr="0068675F">
        <w:rPr>
          <w:rFonts w:asciiTheme="minorHAnsi" w:hAnsiTheme="minorHAnsi" w:cstheme="minorHAnsi"/>
          <w:szCs w:val="22"/>
        </w:rPr>
        <w:t xml:space="preserve">This is because, in calculating the federal share of assistance, Medicaid generally </w:t>
      </w:r>
      <w:r w:rsidRPr="0068675F">
        <w:rPr>
          <w:rFonts w:asciiTheme="minorHAnsi" w:hAnsiTheme="minorHAnsi" w:cstheme="minorHAnsi"/>
          <w:szCs w:val="22"/>
        </w:rPr>
        <w:lastRenderedPageBreak/>
        <w:t xml:space="preserve">deducts revenues from health-care related taxes imposed by </w:t>
      </w:r>
      <w:r w:rsidR="002920FC" w:rsidRPr="0068675F">
        <w:rPr>
          <w:rFonts w:asciiTheme="minorHAnsi" w:hAnsiTheme="minorHAnsi" w:cstheme="minorHAnsi"/>
          <w:szCs w:val="22"/>
        </w:rPr>
        <w:t>the state</w:t>
      </w:r>
      <w:r w:rsidRPr="0068675F">
        <w:rPr>
          <w:rFonts w:asciiTheme="minorHAnsi" w:hAnsiTheme="minorHAnsi" w:cstheme="minorHAnsi"/>
          <w:szCs w:val="22"/>
        </w:rPr>
        <w:t xml:space="preserve"> or local government unless such taxes are broad and uniform across an entire “class” of items or services and meet certain other requirements.</w:t>
      </w:r>
      <w:r w:rsidRPr="0068675F">
        <w:rPr>
          <w:rStyle w:val="FootnoteReference"/>
          <w:rFonts w:asciiTheme="minorHAnsi" w:hAnsiTheme="minorHAnsi" w:cstheme="minorHAnsi"/>
          <w:szCs w:val="22"/>
        </w:rPr>
        <w:footnoteReference w:id="2"/>
      </w:r>
      <w:r w:rsidR="000215BA" w:rsidRPr="0068675F">
        <w:rPr>
          <w:rFonts w:asciiTheme="minorHAnsi" w:hAnsiTheme="minorHAnsi" w:cstheme="minorHAnsi"/>
          <w:szCs w:val="22"/>
        </w:rPr>
        <w:t xml:space="preserve"> Absent approval from CMS, revenue from the tax could therefore be off-set by reductions in how much the federal government pays </w:t>
      </w:r>
      <w:r w:rsidR="00651F42" w:rsidRPr="0068675F">
        <w:rPr>
          <w:rFonts w:asciiTheme="minorHAnsi" w:hAnsiTheme="minorHAnsi" w:cstheme="minorHAnsi"/>
          <w:szCs w:val="22"/>
        </w:rPr>
        <w:t>Minnesota</w:t>
      </w:r>
      <w:r w:rsidR="000215BA" w:rsidRPr="0068675F">
        <w:rPr>
          <w:rFonts w:asciiTheme="minorHAnsi" w:hAnsiTheme="minorHAnsi" w:cstheme="minorHAnsi"/>
          <w:szCs w:val="22"/>
        </w:rPr>
        <w:t xml:space="preserve"> for Medicaid assistance.</w:t>
      </w:r>
      <w:r w:rsidR="00E31003" w:rsidRPr="0068675F">
        <w:rPr>
          <w:rFonts w:asciiTheme="minorHAnsi" w:hAnsiTheme="minorHAnsi" w:cstheme="minorHAnsi"/>
          <w:szCs w:val="22"/>
        </w:rPr>
        <w:t xml:space="preserve"> CMS acknowledged this issue in a July 25, 2014 State Medicaid Director/State Health Official Letter.</w:t>
      </w:r>
      <w:r w:rsidR="00E31003" w:rsidRPr="0068675F">
        <w:rPr>
          <w:rStyle w:val="FootnoteReference"/>
          <w:rFonts w:asciiTheme="minorHAnsi" w:hAnsiTheme="minorHAnsi" w:cstheme="minorHAnsi"/>
          <w:szCs w:val="22"/>
        </w:rPr>
        <w:footnoteReference w:id="3"/>
      </w:r>
      <w:r w:rsidR="000215BA" w:rsidRPr="0068675F">
        <w:rPr>
          <w:rFonts w:asciiTheme="minorHAnsi" w:hAnsiTheme="minorHAnsi" w:cstheme="minorHAnsi"/>
          <w:szCs w:val="22"/>
        </w:rPr>
        <w:br/>
      </w:r>
    </w:p>
    <w:p w:rsidR="00C51666" w:rsidRPr="00E67411" w:rsidRDefault="00C51666" w:rsidP="0068675F">
      <w:pPr>
        <w:contextualSpacing/>
        <w:rPr>
          <w:rFonts w:asciiTheme="minorHAnsi" w:hAnsiTheme="minorHAnsi" w:cstheme="minorHAnsi"/>
          <w:szCs w:val="22"/>
        </w:rPr>
      </w:pPr>
      <w:r w:rsidRPr="0068675F">
        <w:rPr>
          <w:rFonts w:asciiTheme="minorHAnsi" w:hAnsiTheme="minorHAnsi" w:cstheme="minorHAnsi"/>
          <w:b/>
          <w:szCs w:val="22"/>
        </w:rPr>
        <w:t xml:space="preserve">The confusing and complex design of the </w:t>
      </w:r>
      <w:r w:rsidR="002E4847">
        <w:rPr>
          <w:rFonts w:asciiTheme="minorHAnsi" w:hAnsiTheme="minorHAnsi" w:cstheme="minorHAnsi"/>
          <w:b/>
          <w:szCs w:val="22"/>
        </w:rPr>
        <w:t xml:space="preserve">registration tax </w:t>
      </w:r>
      <w:r w:rsidRPr="0068675F">
        <w:rPr>
          <w:rFonts w:asciiTheme="minorHAnsi" w:hAnsiTheme="minorHAnsi" w:cstheme="minorHAnsi"/>
          <w:b/>
          <w:szCs w:val="22"/>
        </w:rPr>
        <w:t xml:space="preserve">will likely lead to erroneous collections and increased administrative burden for </w:t>
      </w:r>
      <w:r w:rsidR="00651F42" w:rsidRPr="0068675F">
        <w:rPr>
          <w:rFonts w:asciiTheme="minorHAnsi" w:hAnsiTheme="minorHAnsi" w:cstheme="minorHAnsi"/>
          <w:b/>
          <w:szCs w:val="22"/>
        </w:rPr>
        <w:t>Minnesota</w:t>
      </w:r>
      <w:r w:rsidRPr="0068675F">
        <w:rPr>
          <w:rFonts w:asciiTheme="minorHAnsi" w:hAnsiTheme="minorHAnsi" w:cstheme="minorHAnsi"/>
          <w:b/>
          <w:szCs w:val="22"/>
        </w:rPr>
        <w:t xml:space="preserve"> and taxpayers.</w:t>
      </w:r>
    </w:p>
    <w:p w:rsidR="00C51666" w:rsidRPr="0068675F" w:rsidRDefault="00C51666" w:rsidP="0068675F">
      <w:pPr>
        <w:rPr>
          <w:rFonts w:asciiTheme="minorHAnsi" w:hAnsiTheme="minorHAnsi" w:cstheme="minorHAnsi"/>
          <w:szCs w:val="22"/>
        </w:rPr>
      </w:pPr>
    </w:p>
    <w:p w:rsidR="00C51666" w:rsidRPr="0068675F" w:rsidRDefault="00C51666" w:rsidP="0068675F">
      <w:pPr>
        <w:rPr>
          <w:rFonts w:asciiTheme="minorHAnsi" w:hAnsiTheme="minorHAnsi" w:cstheme="minorHAnsi"/>
          <w:szCs w:val="22"/>
        </w:rPr>
      </w:pPr>
      <w:r w:rsidRPr="0068675F">
        <w:rPr>
          <w:rFonts w:asciiTheme="minorHAnsi" w:hAnsiTheme="minorHAnsi" w:cstheme="minorHAnsi"/>
          <w:szCs w:val="22"/>
        </w:rPr>
        <w:t xml:space="preserve">While states have broad powers with respect to taxation they must have sufficient protections against improper or erroneous tax deprivations to satisfy the Due Process Clause. As drafted, aspects of this tax call into question the clear availability of such safeguards. </w:t>
      </w:r>
    </w:p>
    <w:p w:rsidR="00C51666" w:rsidRPr="0068675F" w:rsidRDefault="00C51666" w:rsidP="0068675F">
      <w:pPr>
        <w:rPr>
          <w:rFonts w:asciiTheme="minorHAnsi" w:hAnsiTheme="minorHAnsi" w:cstheme="minorHAnsi"/>
          <w:szCs w:val="22"/>
        </w:rPr>
      </w:pPr>
    </w:p>
    <w:p w:rsidR="006845B0" w:rsidRPr="0068675F" w:rsidRDefault="006B7D42" w:rsidP="0068675F">
      <w:pPr>
        <w:rPr>
          <w:rFonts w:asciiTheme="minorHAnsi" w:hAnsiTheme="minorHAnsi" w:cstheme="minorHAnsi"/>
          <w:szCs w:val="22"/>
        </w:rPr>
      </w:pPr>
      <w:r>
        <w:rPr>
          <w:rFonts w:asciiTheme="minorHAnsi" w:hAnsiTheme="minorHAnsi" w:cstheme="minorHAnsi"/>
          <w:szCs w:val="22"/>
        </w:rPr>
        <w:t>Prescription d</w:t>
      </w:r>
      <w:r w:rsidR="002E4847" w:rsidRPr="00C16F75">
        <w:rPr>
          <w:rFonts w:asciiTheme="minorHAnsi" w:hAnsiTheme="minorHAnsi" w:cstheme="minorHAnsi"/>
          <w:szCs w:val="22"/>
        </w:rPr>
        <w:t>rug manufacturers do not input or have access to the infor</w:t>
      </w:r>
      <w:r>
        <w:rPr>
          <w:rFonts w:asciiTheme="minorHAnsi" w:hAnsiTheme="minorHAnsi" w:cstheme="minorHAnsi"/>
          <w:szCs w:val="22"/>
        </w:rPr>
        <w:t xml:space="preserve">mation in the Prescription </w:t>
      </w:r>
      <w:r w:rsidR="002E4847" w:rsidRPr="00C16F75">
        <w:rPr>
          <w:rFonts w:asciiTheme="minorHAnsi" w:hAnsiTheme="minorHAnsi" w:cstheme="minorHAnsi"/>
          <w:szCs w:val="22"/>
        </w:rPr>
        <w:t>Monitoring Program used to assess the registration tax.</w:t>
      </w:r>
      <w:r w:rsidR="002E4847">
        <w:rPr>
          <w:rFonts w:asciiTheme="minorHAnsi" w:hAnsiTheme="minorHAnsi" w:cstheme="minorHAnsi"/>
          <w:szCs w:val="22"/>
        </w:rPr>
        <w:t xml:space="preserve"> </w:t>
      </w:r>
      <w:r w:rsidR="00A5051F" w:rsidRPr="0068675F">
        <w:rPr>
          <w:rFonts w:asciiTheme="minorHAnsi" w:hAnsiTheme="minorHAnsi" w:cstheme="minorHAnsi"/>
          <w:szCs w:val="22"/>
        </w:rPr>
        <w:t>The Supreme Court has clearly said that tax collection systems must provide adequate procedures and a “clear and certain remedy” against erroneous taxation.</w:t>
      </w:r>
      <w:r w:rsidR="00A5051F" w:rsidRPr="0068675F">
        <w:rPr>
          <w:rStyle w:val="FootnoteReference"/>
          <w:rFonts w:asciiTheme="minorHAnsi" w:hAnsiTheme="minorHAnsi" w:cstheme="minorHAnsi"/>
          <w:szCs w:val="22"/>
        </w:rPr>
        <w:footnoteReference w:id="4"/>
      </w:r>
      <w:r w:rsidR="00A5051F" w:rsidRPr="0068675F">
        <w:rPr>
          <w:rFonts w:asciiTheme="minorHAnsi" w:hAnsiTheme="minorHAnsi" w:cstheme="minorHAnsi"/>
          <w:szCs w:val="22"/>
        </w:rPr>
        <w:t xml:space="preserve">  Furthermore, establishment of such a process would be incredibly burdensome to both taxpayers and </w:t>
      </w:r>
      <w:r w:rsidR="00651F42" w:rsidRPr="0068675F">
        <w:rPr>
          <w:rFonts w:asciiTheme="minorHAnsi" w:hAnsiTheme="minorHAnsi" w:cstheme="minorHAnsi"/>
          <w:szCs w:val="22"/>
        </w:rPr>
        <w:t>Minnesota</w:t>
      </w:r>
      <w:r w:rsidR="00A5051F" w:rsidRPr="0068675F">
        <w:rPr>
          <w:rFonts w:asciiTheme="minorHAnsi" w:hAnsiTheme="minorHAnsi" w:cstheme="minorHAnsi"/>
          <w:szCs w:val="22"/>
        </w:rPr>
        <w:t>.</w:t>
      </w:r>
    </w:p>
    <w:p w:rsidR="002E4847" w:rsidRDefault="002E4847" w:rsidP="0068675F">
      <w:pPr>
        <w:rPr>
          <w:rFonts w:asciiTheme="minorHAnsi" w:hAnsiTheme="minorHAnsi" w:cstheme="minorHAnsi"/>
          <w:szCs w:val="22"/>
        </w:rPr>
      </w:pPr>
    </w:p>
    <w:p w:rsidR="00AC6CDA" w:rsidRPr="00096B18" w:rsidRDefault="002E4847" w:rsidP="0068675F">
      <w:pPr>
        <w:rPr>
          <w:rFonts w:asciiTheme="minorHAnsi" w:hAnsiTheme="minorHAnsi" w:cstheme="minorHAnsi"/>
          <w:b/>
          <w:szCs w:val="22"/>
        </w:rPr>
      </w:pPr>
      <w:r w:rsidRPr="00096B18">
        <w:rPr>
          <w:rFonts w:asciiTheme="minorHAnsi" w:hAnsiTheme="minorHAnsi" w:cstheme="minorHAnsi"/>
          <w:b/>
          <w:szCs w:val="22"/>
        </w:rPr>
        <w:t xml:space="preserve">The </w:t>
      </w:r>
      <w:r w:rsidR="00EC54E9">
        <w:rPr>
          <w:rFonts w:asciiTheme="minorHAnsi" w:hAnsiTheme="minorHAnsi" w:cstheme="minorHAnsi"/>
          <w:b/>
          <w:szCs w:val="22"/>
        </w:rPr>
        <w:t>registration tax for non-opiate controlled substance drug manufacturers</w:t>
      </w:r>
      <w:r w:rsidRPr="00096B18">
        <w:rPr>
          <w:rFonts w:asciiTheme="minorHAnsi" w:hAnsiTheme="minorHAnsi" w:cstheme="minorHAnsi"/>
          <w:b/>
          <w:szCs w:val="22"/>
        </w:rPr>
        <w:t xml:space="preserve"> should be rejected </w:t>
      </w:r>
      <w:r w:rsidR="00096B18" w:rsidRPr="00096B18">
        <w:rPr>
          <w:rFonts w:asciiTheme="minorHAnsi" w:hAnsiTheme="minorHAnsi" w:cstheme="minorHAnsi"/>
          <w:b/>
          <w:szCs w:val="22"/>
        </w:rPr>
        <w:t>for lack of detail.</w:t>
      </w:r>
    </w:p>
    <w:p w:rsidR="002E4847" w:rsidRDefault="002E4847" w:rsidP="0068675F">
      <w:pPr>
        <w:rPr>
          <w:rFonts w:asciiTheme="minorHAnsi" w:hAnsiTheme="minorHAnsi" w:cstheme="minorHAnsi"/>
          <w:szCs w:val="22"/>
        </w:rPr>
      </w:pPr>
    </w:p>
    <w:p w:rsidR="002E4847" w:rsidRDefault="002E4847" w:rsidP="0068675F">
      <w:pPr>
        <w:rPr>
          <w:rFonts w:asciiTheme="minorHAnsi" w:hAnsiTheme="minorHAnsi" w:cstheme="minorHAnsi"/>
          <w:szCs w:val="22"/>
        </w:rPr>
      </w:pPr>
      <w:r>
        <w:rPr>
          <w:rFonts w:asciiTheme="minorHAnsi" w:hAnsiTheme="minorHAnsi" w:cstheme="minorHAnsi"/>
          <w:szCs w:val="22"/>
        </w:rPr>
        <w:t>As currently written,</w:t>
      </w:r>
      <w:r w:rsidR="00EC54E9">
        <w:rPr>
          <w:rFonts w:asciiTheme="minorHAnsi" w:hAnsiTheme="minorHAnsi" w:cstheme="minorHAnsi"/>
          <w:szCs w:val="22"/>
        </w:rPr>
        <w:t xml:space="preserve"> the proposed registration tax for non-opiate controlled substance </w:t>
      </w:r>
      <w:r>
        <w:rPr>
          <w:rFonts w:asciiTheme="minorHAnsi" w:hAnsiTheme="minorHAnsi" w:cstheme="minorHAnsi"/>
          <w:szCs w:val="22"/>
        </w:rPr>
        <w:t xml:space="preserve">drug manufacturers should be rejected </w:t>
      </w:r>
      <w:r w:rsidR="00096B18">
        <w:rPr>
          <w:rFonts w:asciiTheme="minorHAnsi" w:hAnsiTheme="minorHAnsi" w:cstheme="minorHAnsi"/>
          <w:szCs w:val="22"/>
        </w:rPr>
        <w:t>for lacking detail on</w:t>
      </w:r>
      <w:r w:rsidR="00EC54E9">
        <w:rPr>
          <w:rFonts w:asciiTheme="minorHAnsi" w:hAnsiTheme="minorHAnsi" w:cstheme="minorHAnsi"/>
          <w:szCs w:val="22"/>
        </w:rPr>
        <w:t xml:space="preserve"> the amount of the fee</w:t>
      </w:r>
      <w:r w:rsidR="00096B18">
        <w:rPr>
          <w:rFonts w:asciiTheme="minorHAnsi" w:hAnsiTheme="minorHAnsi" w:cstheme="minorHAnsi"/>
          <w:szCs w:val="22"/>
        </w:rPr>
        <w:t>, which</w:t>
      </w:r>
      <w:r w:rsidR="00EC54E9">
        <w:rPr>
          <w:rFonts w:asciiTheme="minorHAnsi" w:hAnsiTheme="minorHAnsi" w:cstheme="minorHAnsi"/>
          <w:szCs w:val="22"/>
        </w:rPr>
        <w:t xml:space="preserve"> allows the State to use the fee</w:t>
      </w:r>
      <w:r w:rsidR="00096B18">
        <w:rPr>
          <w:rFonts w:asciiTheme="minorHAnsi" w:hAnsiTheme="minorHAnsi" w:cstheme="minorHAnsi"/>
          <w:szCs w:val="22"/>
        </w:rPr>
        <w:t xml:space="preserve"> as a blank check. Without info</w:t>
      </w:r>
      <w:r w:rsidR="00EC54E9">
        <w:rPr>
          <w:rFonts w:asciiTheme="minorHAnsi" w:hAnsiTheme="minorHAnsi" w:cstheme="minorHAnsi"/>
          <w:szCs w:val="22"/>
        </w:rPr>
        <w:t>rmation on the amount of the fee</w:t>
      </w:r>
      <w:r w:rsidR="00096B18">
        <w:rPr>
          <w:rFonts w:asciiTheme="minorHAnsi" w:hAnsiTheme="minorHAnsi" w:cstheme="minorHAnsi"/>
          <w:szCs w:val="22"/>
        </w:rPr>
        <w:t>, it is impossible to assess the potential impact on patients, manufacturers and the drug supply chain.</w:t>
      </w:r>
    </w:p>
    <w:p w:rsidR="00AC6CDA" w:rsidRDefault="00AC6CDA" w:rsidP="0068675F">
      <w:pPr>
        <w:rPr>
          <w:rFonts w:asciiTheme="minorHAnsi" w:hAnsiTheme="minorHAnsi" w:cstheme="minorHAnsi"/>
          <w:szCs w:val="22"/>
        </w:rPr>
      </w:pPr>
    </w:p>
    <w:p w:rsidR="006423A6" w:rsidRPr="0068675F" w:rsidRDefault="003274C9" w:rsidP="0068675F">
      <w:pPr>
        <w:rPr>
          <w:rFonts w:asciiTheme="minorHAnsi" w:hAnsiTheme="minorHAnsi" w:cstheme="minorHAnsi"/>
          <w:szCs w:val="22"/>
        </w:rPr>
      </w:pPr>
      <w:r w:rsidRPr="0068675F">
        <w:rPr>
          <w:rFonts w:asciiTheme="minorHAnsi" w:hAnsiTheme="minorHAnsi" w:cstheme="minorHAnsi"/>
          <w:szCs w:val="22"/>
        </w:rPr>
        <w:t xml:space="preserve">For the reasons described above, PhRMA urges legislators to reject </w:t>
      </w:r>
      <w:r w:rsidR="00EC54E9" w:rsidRPr="00EC54E9">
        <w:rPr>
          <w:rFonts w:asciiTheme="minorHAnsi" w:hAnsiTheme="minorHAnsi" w:cstheme="minorHAnsi"/>
          <w:szCs w:val="22"/>
        </w:rPr>
        <w:t>H1440A7-1</w:t>
      </w:r>
      <w:r w:rsidRPr="0068675F">
        <w:rPr>
          <w:rFonts w:asciiTheme="minorHAnsi" w:hAnsiTheme="minorHAnsi" w:cstheme="minorHAnsi"/>
          <w:szCs w:val="22"/>
        </w:rPr>
        <w:t>.</w:t>
      </w:r>
    </w:p>
    <w:sectPr w:rsidR="006423A6" w:rsidRPr="0068675F" w:rsidSect="007C181E">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1F1" w:rsidRDefault="001B11F1">
      <w:r>
        <w:separator/>
      </w:r>
    </w:p>
  </w:endnote>
  <w:endnote w:type="continuationSeparator" w:id="0">
    <w:p w:rsidR="001B11F1" w:rsidRDefault="001B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424239"/>
      <w:docPartObj>
        <w:docPartGallery w:val="Page Numbers (Bottom of Page)"/>
        <w:docPartUnique/>
      </w:docPartObj>
    </w:sdtPr>
    <w:sdtEndPr>
      <w:rPr>
        <w:rFonts w:asciiTheme="minorHAnsi" w:hAnsiTheme="minorHAnsi"/>
        <w:noProof/>
        <w:sz w:val="22"/>
        <w:szCs w:val="22"/>
      </w:rPr>
    </w:sdtEndPr>
    <w:sdtContent>
      <w:p w:rsidR="00454A8A" w:rsidRPr="00A40B36" w:rsidRDefault="00454A8A">
        <w:pPr>
          <w:pStyle w:val="Footer"/>
          <w:jc w:val="right"/>
          <w:rPr>
            <w:rFonts w:asciiTheme="minorHAnsi" w:hAnsiTheme="minorHAnsi"/>
            <w:sz w:val="22"/>
            <w:szCs w:val="22"/>
          </w:rPr>
        </w:pPr>
        <w:r w:rsidRPr="00A40B36">
          <w:rPr>
            <w:rFonts w:asciiTheme="minorHAnsi" w:hAnsiTheme="minorHAnsi"/>
            <w:sz w:val="22"/>
            <w:szCs w:val="22"/>
          </w:rPr>
          <w:fldChar w:fldCharType="begin"/>
        </w:r>
        <w:r w:rsidRPr="00A40B36">
          <w:rPr>
            <w:rFonts w:asciiTheme="minorHAnsi" w:hAnsiTheme="minorHAnsi"/>
            <w:sz w:val="22"/>
            <w:szCs w:val="22"/>
          </w:rPr>
          <w:instrText xml:space="preserve"> PAGE   \* MERGEFORMAT </w:instrText>
        </w:r>
        <w:r w:rsidRPr="00A40B36">
          <w:rPr>
            <w:rFonts w:asciiTheme="minorHAnsi" w:hAnsiTheme="minorHAnsi"/>
            <w:sz w:val="22"/>
            <w:szCs w:val="22"/>
          </w:rPr>
          <w:fldChar w:fldCharType="separate"/>
        </w:r>
        <w:r w:rsidR="00283276">
          <w:rPr>
            <w:rFonts w:asciiTheme="minorHAnsi" w:hAnsiTheme="minorHAnsi"/>
            <w:noProof/>
            <w:sz w:val="22"/>
            <w:szCs w:val="22"/>
          </w:rPr>
          <w:t>2</w:t>
        </w:r>
        <w:r w:rsidRPr="00A40B36">
          <w:rPr>
            <w:rFonts w:asciiTheme="minorHAnsi" w:hAnsiTheme="minorHAnsi"/>
            <w:noProof/>
            <w:sz w:val="22"/>
            <w:szCs w:val="22"/>
          </w:rPr>
          <w:fldChar w:fldCharType="end"/>
        </w:r>
      </w:p>
    </w:sdtContent>
  </w:sdt>
  <w:p w:rsidR="00454A8A" w:rsidRDefault="00454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1F1" w:rsidRDefault="001B11F1">
      <w:r>
        <w:separator/>
      </w:r>
    </w:p>
  </w:footnote>
  <w:footnote w:type="continuationSeparator" w:id="0">
    <w:p w:rsidR="001B11F1" w:rsidRDefault="001B11F1">
      <w:r>
        <w:continuationSeparator/>
      </w:r>
    </w:p>
  </w:footnote>
  <w:footnote w:id="1">
    <w:p w:rsidR="00454A8A" w:rsidRDefault="00454A8A">
      <w:pPr>
        <w:pStyle w:val="FootnoteText"/>
      </w:pPr>
      <w:r w:rsidRPr="006718BF">
        <w:rPr>
          <w:rStyle w:val="FootnoteReference"/>
          <w:sz w:val="16"/>
        </w:rPr>
        <w:footnoteRef/>
      </w:r>
      <w:r w:rsidRPr="006718BF">
        <w:rPr>
          <w:sz w:val="16"/>
        </w:rPr>
        <w:t xml:space="preserve"> Total Medicaid rebates for this time period were approximately $504 million. After taking into account the federal-state shares of funding for the Medicaid program, approximately half of the rebates were retained by the State.</w:t>
      </w:r>
    </w:p>
  </w:footnote>
  <w:footnote w:id="2">
    <w:p w:rsidR="00454A8A" w:rsidRPr="00E31003" w:rsidRDefault="00454A8A">
      <w:pPr>
        <w:pStyle w:val="FootnoteText"/>
        <w:rPr>
          <w:sz w:val="16"/>
          <w:szCs w:val="16"/>
        </w:rPr>
      </w:pPr>
      <w:r w:rsidRPr="00E31003">
        <w:rPr>
          <w:rStyle w:val="FootnoteReference"/>
          <w:sz w:val="16"/>
          <w:szCs w:val="16"/>
        </w:rPr>
        <w:footnoteRef/>
      </w:r>
      <w:r w:rsidRPr="00E31003">
        <w:rPr>
          <w:sz w:val="16"/>
          <w:szCs w:val="16"/>
        </w:rPr>
        <w:t xml:space="preserve"> SSA </w:t>
      </w:r>
      <w:r w:rsidRPr="00E31003">
        <w:rPr>
          <w:rFonts w:cstheme="minorHAnsi"/>
          <w:sz w:val="16"/>
          <w:szCs w:val="16"/>
        </w:rPr>
        <w:t>§</w:t>
      </w:r>
      <w:r w:rsidRPr="00E31003">
        <w:rPr>
          <w:sz w:val="16"/>
          <w:szCs w:val="16"/>
        </w:rPr>
        <w:t xml:space="preserve"> 1903(w)(2)©(i)(IV); 42 CFR </w:t>
      </w:r>
      <w:r w:rsidRPr="00E31003">
        <w:rPr>
          <w:rFonts w:cstheme="minorHAnsi"/>
          <w:sz w:val="16"/>
          <w:szCs w:val="16"/>
        </w:rPr>
        <w:t>§</w:t>
      </w:r>
      <w:r w:rsidRPr="00E31003">
        <w:rPr>
          <w:sz w:val="16"/>
          <w:szCs w:val="16"/>
        </w:rPr>
        <w:t xml:space="preserve"> 433.68</w:t>
      </w:r>
    </w:p>
  </w:footnote>
  <w:footnote w:id="3">
    <w:p w:rsidR="00454A8A" w:rsidRPr="00E31003" w:rsidRDefault="00454A8A">
      <w:pPr>
        <w:pStyle w:val="FootnoteText"/>
        <w:rPr>
          <w:sz w:val="16"/>
          <w:szCs w:val="16"/>
        </w:rPr>
      </w:pPr>
      <w:r w:rsidRPr="00E31003">
        <w:rPr>
          <w:rStyle w:val="FootnoteReference"/>
          <w:sz w:val="16"/>
          <w:szCs w:val="16"/>
        </w:rPr>
        <w:footnoteRef/>
      </w:r>
      <w:r w:rsidRPr="00E31003">
        <w:rPr>
          <w:sz w:val="16"/>
          <w:szCs w:val="16"/>
        </w:rPr>
        <w:t xml:space="preserve"> “Section 1903(w)(3)(A)(i) of the Act defines a health care-related tax using multiple tests that must be applied to these types of tax proposals. Health care-related taxes include taxes related to: (1) health care items or services; (2) the provision of, or the authority to provide, the health care items or services; or (3) payment for such items or services. Section 1903(w)(3)(A)(ii) further stipulates that a</w:t>
      </w:r>
      <w:r w:rsidRPr="00E31003">
        <w:t xml:space="preserve"> </w:t>
      </w:r>
      <w:r w:rsidRPr="00E31003">
        <w:rPr>
          <w:sz w:val="18"/>
        </w:rPr>
        <w:t xml:space="preserve">health care-related tax includes taxes that are </w:t>
      </w:r>
      <w:r w:rsidRPr="00E31003">
        <w:rPr>
          <w:sz w:val="16"/>
          <w:szCs w:val="16"/>
        </w:rPr>
        <w:t>not limited to health care items or services but provide for different or unequal treatment for individuals or entities that are paying for or providing health care items or services.”</w:t>
      </w:r>
    </w:p>
  </w:footnote>
  <w:footnote w:id="4">
    <w:p w:rsidR="00454A8A" w:rsidRPr="00E31003" w:rsidRDefault="00454A8A">
      <w:pPr>
        <w:pStyle w:val="FootnoteText"/>
        <w:rPr>
          <w:sz w:val="16"/>
          <w:szCs w:val="16"/>
        </w:rPr>
      </w:pPr>
      <w:r w:rsidRPr="00E31003">
        <w:rPr>
          <w:rStyle w:val="FootnoteReference"/>
          <w:sz w:val="16"/>
          <w:szCs w:val="16"/>
        </w:rPr>
        <w:footnoteRef/>
      </w:r>
      <w:r w:rsidRPr="00E31003">
        <w:rPr>
          <w:sz w:val="16"/>
          <w:szCs w:val="16"/>
        </w:rPr>
        <w:t xml:space="preserve"> McKesson Corp. v. Division of Alcoholic Beverages &amp; Tobacco, Dept. of Bus. Reg. of Fla., 496 U.S. 18, 39, 50 (1990)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A8A" w:rsidRDefault="00454A8A">
    <w:pPr>
      <w:pStyle w:val="Header"/>
    </w:pPr>
    <w:r>
      <w:rPr>
        <w:noProof/>
      </w:rPr>
      <w:drawing>
        <wp:anchor distT="0" distB="0" distL="114300" distR="114300" simplePos="0" relativeHeight="251661312" behindDoc="0" locked="0" layoutInCell="1" allowOverlap="1" wp14:anchorId="33FC408D" wp14:editId="6F453B35">
          <wp:simplePos x="0" y="0"/>
          <wp:positionH relativeFrom="page">
            <wp:posOffset>-34925</wp:posOffset>
          </wp:positionH>
          <wp:positionV relativeFrom="page">
            <wp:posOffset>5080</wp:posOffset>
          </wp:positionV>
          <wp:extent cx="7814310" cy="17830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4310" cy="1783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50526"/>
    <w:multiLevelType w:val="hybridMultilevel"/>
    <w:tmpl w:val="012AEA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FA2760"/>
    <w:multiLevelType w:val="hybridMultilevel"/>
    <w:tmpl w:val="A16AF14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3C8748A2"/>
    <w:multiLevelType w:val="hybridMultilevel"/>
    <w:tmpl w:val="98CE9F34"/>
    <w:lvl w:ilvl="0" w:tplc="220EF9E6">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D24816"/>
    <w:multiLevelType w:val="hybridMultilevel"/>
    <w:tmpl w:val="667E7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111A37"/>
    <w:multiLevelType w:val="hybridMultilevel"/>
    <w:tmpl w:val="E9561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B1484"/>
    <w:multiLevelType w:val="hybridMultilevel"/>
    <w:tmpl w:val="05BC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1746F"/>
    <w:multiLevelType w:val="hybridMultilevel"/>
    <w:tmpl w:val="B9E28B1E"/>
    <w:lvl w:ilvl="0" w:tplc="79A41F0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7010773C"/>
    <w:multiLevelType w:val="hybridMultilevel"/>
    <w:tmpl w:val="8B8C1E48"/>
    <w:lvl w:ilvl="0" w:tplc="23A84B9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481454"/>
    <w:multiLevelType w:val="hybridMultilevel"/>
    <w:tmpl w:val="1F9E5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416A73"/>
    <w:multiLevelType w:val="hybridMultilevel"/>
    <w:tmpl w:val="07B4E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E54BA6"/>
    <w:multiLevelType w:val="hybridMultilevel"/>
    <w:tmpl w:val="1E1EEC12"/>
    <w:lvl w:ilvl="0" w:tplc="04090001">
      <w:start w:val="1"/>
      <w:numFmt w:val="bullet"/>
      <w:lvlText w:val=""/>
      <w:lvlJc w:val="left"/>
      <w:pPr>
        <w:ind w:left="720" w:hanging="360"/>
      </w:pPr>
      <w:rPr>
        <w:rFonts w:ascii="Symbol" w:hAnsi="Symbol" w:hint="default"/>
      </w:rPr>
    </w:lvl>
    <w:lvl w:ilvl="1" w:tplc="11148A4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0"/>
  </w:num>
  <w:num w:numId="6">
    <w:abstractNumId w:val="10"/>
  </w:num>
  <w:num w:numId="7">
    <w:abstractNumId w:val="1"/>
  </w:num>
  <w:num w:numId="8">
    <w:abstractNumId w:val="3"/>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0B"/>
    <w:rsid w:val="0000077D"/>
    <w:rsid w:val="0000171F"/>
    <w:rsid w:val="000126DD"/>
    <w:rsid w:val="000141CC"/>
    <w:rsid w:val="00017C42"/>
    <w:rsid w:val="00020488"/>
    <w:rsid w:val="000215BA"/>
    <w:rsid w:val="000301EF"/>
    <w:rsid w:val="00040202"/>
    <w:rsid w:val="00046408"/>
    <w:rsid w:val="00051DFC"/>
    <w:rsid w:val="00061547"/>
    <w:rsid w:val="00062103"/>
    <w:rsid w:val="000739BB"/>
    <w:rsid w:val="00073DEF"/>
    <w:rsid w:val="00075563"/>
    <w:rsid w:val="00077ADA"/>
    <w:rsid w:val="00090C88"/>
    <w:rsid w:val="00096B18"/>
    <w:rsid w:val="000A732C"/>
    <w:rsid w:val="000C1CD1"/>
    <w:rsid w:val="000C4B61"/>
    <w:rsid w:val="000F0AB8"/>
    <w:rsid w:val="001101C1"/>
    <w:rsid w:val="00110F5C"/>
    <w:rsid w:val="00113ED4"/>
    <w:rsid w:val="00126B46"/>
    <w:rsid w:val="00141C6A"/>
    <w:rsid w:val="00162090"/>
    <w:rsid w:val="00180D7D"/>
    <w:rsid w:val="00190132"/>
    <w:rsid w:val="001B11F1"/>
    <w:rsid w:val="001B5AEF"/>
    <w:rsid w:val="001D3DC9"/>
    <w:rsid w:val="001D555E"/>
    <w:rsid w:val="001D690E"/>
    <w:rsid w:val="001E62A2"/>
    <w:rsid w:val="001E7A08"/>
    <w:rsid w:val="001F04CA"/>
    <w:rsid w:val="001F5E4C"/>
    <w:rsid w:val="0020172E"/>
    <w:rsid w:val="002409C5"/>
    <w:rsid w:val="002531A4"/>
    <w:rsid w:val="00274EA4"/>
    <w:rsid w:val="00280281"/>
    <w:rsid w:val="00281294"/>
    <w:rsid w:val="00283276"/>
    <w:rsid w:val="0028327C"/>
    <w:rsid w:val="002920FC"/>
    <w:rsid w:val="00295628"/>
    <w:rsid w:val="002A59D1"/>
    <w:rsid w:val="002C361C"/>
    <w:rsid w:val="002C5F38"/>
    <w:rsid w:val="002E295D"/>
    <w:rsid w:val="002E4847"/>
    <w:rsid w:val="00307AC8"/>
    <w:rsid w:val="00313715"/>
    <w:rsid w:val="00314121"/>
    <w:rsid w:val="0031586D"/>
    <w:rsid w:val="00324821"/>
    <w:rsid w:val="003274C9"/>
    <w:rsid w:val="003314AD"/>
    <w:rsid w:val="003407EE"/>
    <w:rsid w:val="00343127"/>
    <w:rsid w:val="00345D2E"/>
    <w:rsid w:val="00351584"/>
    <w:rsid w:val="00357635"/>
    <w:rsid w:val="0036141D"/>
    <w:rsid w:val="00385444"/>
    <w:rsid w:val="003A1FFF"/>
    <w:rsid w:val="003A6651"/>
    <w:rsid w:val="003A7EF4"/>
    <w:rsid w:val="003B3FC4"/>
    <w:rsid w:val="003B6B11"/>
    <w:rsid w:val="003E0063"/>
    <w:rsid w:val="003E0540"/>
    <w:rsid w:val="003E0556"/>
    <w:rsid w:val="003E5F26"/>
    <w:rsid w:val="003E6626"/>
    <w:rsid w:val="003F75B8"/>
    <w:rsid w:val="00400406"/>
    <w:rsid w:val="0041019B"/>
    <w:rsid w:val="004229B4"/>
    <w:rsid w:val="004318A1"/>
    <w:rsid w:val="004332EA"/>
    <w:rsid w:val="00454A8A"/>
    <w:rsid w:val="00455287"/>
    <w:rsid w:val="0046610B"/>
    <w:rsid w:val="0047582D"/>
    <w:rsid w:val="004844FB"/>
    <w:rsid w:val="004A1F98"/>
    <w:rsid w:val="004A2E26"/>
    <w:rsid w:val="004B15AC"/>
    <w:rsid w:val="004B3E73"/>
    <w:rsid w:val="00513C7B"/>
    <w:rsid w:val="005242BD"/>
    <w:rsid w:val="00527F90"/>
    <w:rsid w:val="00531E56"/>
    <w:rsid w:val="00542846"/>
    <w:rsid w:val="00547C84"/>
    <w:rsid w:val="005674A8"/>
    <w:rsid w:val="0057573A"/>
    <w:rsid w:val="00586A46"/>
    <w:rsid w:val="005A7A61"/>
    <w:rsid w:val="005C6FD7"/>
    <w:rsid w:val="005D4890"/>
    <w:rsid w:val="005E5284"/>
    <w:rsid w:val="005E564B"/>
    <w:rsid w:val="00600CEA"/>
    <w:rsid w:val="006147BD"/>
    <w:rsid w:val="00615625"/>
    <w:rsid w:val="006248B5"/>
    <w:rsid w:val="00624A79"/>
    <w:rsid w:val="0063482C"/>
    <w:rsid w:val="00635E7A"/>
    <w:rsid w:val="006423A6"/>
    <w:rsid w:val="00651F42"/>
    <w:rsid w:val="00661527"/>
    <w:rsid w:val="006718BF"/>
    <w:rsid w:val="006845B0"/>
    <w:rsid w:val="0068675F"/>
    <w:rsid w:val="00690F71"/>
    <w:rsid w:val="006A4E74"/>
    <w:rsid w:val="006B00F1"/>
    <w:rsid w:val="006B29BC"/>
    <w:rsid w:val="006B614E"/>
    <w:rsid w:val="006B6CD6"/>
    <w:rsid w:val="006B7D42"/>
    <w:rsid w:val="006D000A"/>
    <w:rsid w:val="006D7CE3"/>
    <w:rsid w:val="006E3F81"/>
    <w:rsid w:val="006E46D2"/>
    <w:rsid w:val="006E5E1F"/>
    <w:rsid w:val="006F1B3F"/>
    <w:rsid w:val="006F387E"/>
    <w:rsid w:val="00712793"/>
    <w:rsid w:val="007142F0"/>
    <w:rsid w:val="00727731"/>
    <w:rsid w:val="007329B4"/>
    <w:rsid w:val="00754C11"/>
    <w:rsid w:val="00765997"/>
    <w:rsid w:val="007677F4"/>
    <w:rsid w:val="00780AA9"/>
    <w:rsid w:val="007834A2"/>
    <w:rsid w:val="007C181E"/>
    <w:rsid w:val="007D0E7C"/>
    <w:rsid w:val="007D4053"/>
    <w:rsid w:val="007D7B48"/>
    <w:rsid w:val="008036F3"/>
    <w:rsid w:val="008155A4"/>
    <w:rsid w:val="008207F3"/>
    <w:rsid w:val="00822098"/>
    <w:rsid w:val="00857827"/>
    <w:rsid w:val="0086278B"/>
    <w:rsid w:val="008628CC"/>
    <w:rsid w:val="0087249D"/>
    <w:rsid w:val="00885109"/>
    <w:rsid w:val="00892471"/>
    <w:rsid w:val="008A0296"/>
    <w:rsid w:val="008A673A"/>
    <w:rsid w:val="008B42F0"/>
    <w:rsid w:val="008E4FD4"/>
    <w:rsid w:val="008E735D"/>
    <w:rsid w:val="00916EC2"/>
    <w:rsid w:val="00922585"/>
    <w:rsid w:val="00925A72"/>
    <w:rsid w:val="00927A1A"/>
    <w:rsid w:val="009341DB"/>
    <w:rsid w:val="009349BB"/>
    <w:rsid w:val="00953F00"/>
    <w:rsid w:val="00971C90"/>
    <w:rsid w:val="009876D5"/>
    <w:rsid w:val="009C486D"/>
    <w:rsid w:val="009D3E8F"/>
    <w:rsid w:val="00A0186A"/>
    <w:rsid w:val="00A12940"/>
    <w:rsid w:val="00A20BDD"/>
    <w:rsid w:val="00A40B36"/>
    <w:rsid w:val="00A5051F"/>
    <w:rsid w:val="00A6775F"/>
    <w:rsid w:val="00A715B1"/>
    <w:rsid w:val="00A96A77"/>
    <w:rsid w:val="00AB3C0B"/>
    <w:rsid w:val="00AB4215"/>
    <w:rsid w:val="00AC6CDA"/>
    <w:rsid w:val="00AD176A"/>
    <w:rsid w:val="00AE0F99"/>
    <w:rsid w:val="00AF4146"/>
    <w:rsid w:val="00B51A6F"/>
    <w:rsid w:val="00B83B36"/>
    <w:rsid w:val="00B8573D"/>
    <w:rsid w:val="00B95130"/>
    <w:rsid w:val="00BE3CC9"/>
    <w:rsid w:val="00C00783"/>
    <w:rsid w:val="00C05CF8"/>
    <w:rsid w:val="00C15230"/>
    <w:rsid w:val="00C16F75"/>
    <w:rsid w:val="00C23D17"/>
    <w:rsid w:val="00C51666"/>
    <w:rsid w:val="00CA7E91"/>
    <w:rsid w:val="00CC231B"/>
    <w:rsid w:val="00D055FE"/>
    <w:rsid w:val="00D343B6"/>
    <w:rsid w:val="00D368AA"/>
    <w:rsid w:val="00D47A5D"/>
    <w:rsid w:val="00D93DC7"/>
    <w:rsid w:val="00DB19B8"/>
    <w:rsid w:val="00DB3A0A"/>
    <w:rsid w:val="00DC6221"/>
    <w:rsid w:val="00DF4594"/>
    <w:rsid w:val="00E07BFC"/>
    <w:rsid w:val="00E22AB5"/>
    <w:rsid w:val="00E230E3"/>
    <w:rsid w:val="00E31003"/>
    <w:rsid w:val="00E448AC"/>
    <w:rsid w:val="00E5299F"/>
    <w:rsid w:val="00E5685C"/>
    <w:rsid w:val="00E67411"/>
    <w:rsid w:val="00E74954"/>
    <w:rsid w:val="00E95924"/>
    <w:rsid w:val="00E97A71"/>
    <w:rsid w:val="00EB56C8"/>
    <w:rsid w:val="00EC0AD0"/>
    <w:rsid w:val="00EC2438"/>
    <w:rsid w:val="00EC54E9"/>
    <w:rsid w:val="00ED76DA"/>
    <w:rsid w:val="00EE1013"/>
    <w:rsid w:val="00EF0FC2"/>
    <w:rsid w:val="00EF22A8"/>
    <w:rsid w:val="00EF33E4"/>
    <w:rsid w:val="00F1081B"/>
    <w:rsid w:val="00F202D2"/>
    <w:rsid w:val="00F37339"/>
    <w:rsid w:val="00F45EE3"/>
    <w:rsid w:val="00F6078C"/>
    <w:rsid w:val="00F70F1E"/>
    <w:rsid w:val="00FA2877"/>
    <w:rsid w:val="00FB3E3C"/>
    <w:rsid w:val="00FD3EB5"/>
    <w:rsid w:val="00FE4AE2"/>
    <w:rsid w:val="00FE6E8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F590D46-C03C-4E5A-8F11-BD50EAE7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10B"/>
    <w:pPr>
      <w:widowControl w:val="0"/>
      <w:overflowPunct w:val="0"/>
      <w:autoSpaceDE w:val="0"/>
      <w:autoSpaceDN w:val="0"/>
      <w:adjustRightInd w:val="0"/>
      <w:spacing w:after="0"/>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10B"/>
    <w:pPr>
      <w:tabs>
        <w:tab w:val="center" w:pos="4680"/>
        <w:tab w:val="right" w:pos="9360"/>
      </w:tabs>
    </w:pPr>
  </w:style>
  <w:style w:type="character" w:customStyle="1" w:styleId="HeaderChar">
    <w:name w:val="Header Char"/>
    <w:basedOn w:val="DefaultParagraphFont"/>
    <w:link w:val="Header"/>
    <w:uiPriority w:val="99"/>
    <w:rsid w:val="0046610B"/>
    <w:rPr>
      <w:rFonts w:ascii="Arial" w:eastAsia="Times New Roman" w:hAnsi="Arial" w:cs="Times New Roman"/>
      <w:sz w:val="24"/>
      <w:szCs w:val="20"/>
    </w:rPr>
  </w:style>
  <w:style w:type="paragraph" w:styleId="Footer">
    <w:name w:val="footer"/>
    <w:basedOn w:val="Normal"/>
    <w:link w:val="FooterChar"/>
    <w:uiPriority w:val="99"/>
    <w:unhideWhenUsed/>
    <w:rsid w:val="0046610B"/>
    <w:pPr>
      <w:tabs>
        <w:tab w:val="center" w:pos="4680"/>
        <w:tab w:val="right" w:pos="9360"/>
      </w:tabs>
    </w:pPr>
  </w:style>
  <w:style w:type="character" w:customStyle="1" w:styleId="FooterChar">
    <w:name w:val="Footer Char"/>
    <w:basedOn w:val="DefaultParagraphFont"/>
    <w:link w:val="Footer"/>
    <w:uiPriority w:val="99"/>
    <w:rsid w:val="0046610B"/>
    <w:rPr>
      <w:rFonts w:ascii="Arial" w:eastAsia="Times New Roman" w:hAnsi="Arial" w:cs="Times New Roman"/>
      <w:sz w:val="24"/>
      <w:szCs w:val="20"/>
    </w:rPr>
  </w:style>
  <w:style w:type="paragraph" w:styleId="ListParagraph">
    <w:name w:val="List Paragraph"/>
    <w:basedOn w:val="Normal"/>
    <w:uiPriority w:val="34"/>
    <w:qFormat/>
    <w:rsid w:val="0046610B"/>
    <w:pPr>
      <w:ind w:left="720"/>
      <w:contextualSpacing/>
    </w:pPr>
  </w:style>
  <w:style w:type="character" w:styleId="FootnoteReference">
    <w:name w:val="footnote reference"/>
    <w:basedOn w:val="DefaultParagraphFont"/>
    <w:uiPriority w:val="99"/>
    <w:semiHidden/>
    <w:unhideWhenUsed/>
    <w:rsid w:val="0047582D"/>
    <w:rPr>
      <w:vertAlign w:val="superscript"/>
    </w:rPr>
  </w:style>
  <w:style w:type="paragraph" w:styleId="FootnoteText">
    <w:name w:val="footnote text"/>
    <w:basedOn w:val="Normal"/>
    <w:link w:val="FootnoteTextChar"/>
    <w:uiPriority w:val="99"/>
    <w:unhideWhenUsed/>
    <w:rsid w:val="0047582D"/>
    <w:pPr>
      <w:widowControl/>
      <w:overflowPunct/>
      <w:autoSpaceDE/>
      <w:autoSpaceDN/>
      <w:adjustRightInd/>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47582D"/>
    <w:rPr>
      <w:sz w:val="20"/>
      <w:szCs w:val="20"/>
    </w:rPr>
  </w:style>
  <w:style w:type="character" w:styleId="Hyperlink">
    <w:name w:val="Hyperlink"/>
    <w:basedOn w:val="DefaultParagraphFont"/>
    <w:uiPriority w:val="99"/>
    <w:unhideWhenUsed/>
    <w:rsid w:val="0047582D"/>
    <w:rPr>
      <w:color w:val="0000FF" w:themeColor="hyperlink"/>
      <w:u w:val="single"/>
    </w:rPr>
  </w:style>
  <w:style w:type="character" w:styleId="CommentReference">
    <w:name w:val="annotation reference"/>
    <w:basedOn w:val="DefaultParagraphFont"/>
    <w:uiPriority w:val="99"/>
    <w:semiHidden/>
    <w:unhideWhenUsed/>
    <w:rsid w:val="001D690E"/>
    <w:rPr>
      <w:sz w:val="16"/>
      <w:szCs w:val="16"/>
    </w:rPr>
  </w:style>
  <w:style w:type="paragraph" w:styleId="CommentText">
    <w:name w:val="annotation text"/>
    <w:basedOn w:val="Normal"/>
    <w:link w:val="CommentTextChar"/>
    <w:uiPriority w:val="99"/>
    <w:unhideWhenUsed/>
    <w:rsid w:val="001D690E"/>
    <w:rPr>
      <w:sz w:val="20"/>
    </w:rPr>
  </w:style>
  <w:style w:type="character" w:customStyle="1" w:styleId="CommentTextChar">
    <w:name w:val="Comment Text Char"/>
    <w:basedOn w:val="DefaultParagraphFont"/>
    <w:link w:val="CommentText"/>
    <w:uiPriority w:val="99"/>
    <w:rsid w:val="001D690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D690E"/>
    <w:rPr>
      <w:b/>
      <w:bCs/>
    </w:rPr>
  </w:style>
  <w:style w:type="character" w:customStyle="1" w:styleId="CommentSubjectChar">
    <w:name w:val="Comment Subject Char"/>
    <w:basedOn w:val="CommentTextChar"/>
    <w:link w:val="CommentSubject"/>
    <w:uiPriority w:val="99"/>
    <w:semiHidden/>
    <w:rsid w:val="001D690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D690E"/>
    <w:rPr>
      <w:rFonts w:ascii="Tahoma" w:hAnsi="Tahoma" w:cs="Tahoma"/>
      <w:sz w:val="16"/>
      <w:szCs w:val="16"/>
    </w:rPr>
  </w:style>
  <w:style w:type="character" w:customStyle="1" w:styleId="BalloonTextChar">
    <w:name w:val="Balloon Text Char"/>
    <w:basedOn w:val="DefaultParagraphFont"/>
    <w:link w:val="BalloonText"/>
    <w:uiPriority w:val="99"/>
    <w:semiHidden/>
    <w:rsid w:val="001D690E"/>
    <w:rPr>
      <w:rFonts w:ascii="Tahoma" w:eastAsia="Times New Roman" w:hAnsi="Tahoma" w:cs="Tahoma"/>
      <w:sz w:val="16"/>
      <w:szCs w:val="16"/>
    </w:rPr>
  </w:style>
  <w:style w:type="paragraph" w:styleId="NormalWeb">
    <w:name w:val="Normal (Web)"/>
    <w:basedOn w:val="Normal"/>
    <w:uiPriority w:val="99"/>
    <w:semiHidden/>
    <w:unhideWhenUsed/>
    <w:rsid w:val="007D7B48"/>
    <w:pPr>
      <w:widowControl/>
      <w:overflowPunct/>
      <w:autoSpaceDE/>
      <w:autoSpaceDN/>
      <w:adjustRightInd/>
    </w:pPr>
    <w:rPr>
      <w:rFonts w:ascii="Times New Roman" w:hAnsi="Times New Roman"/>
      <w:szCs w:val="24"/>
    </w:rPr>
  </w:style>
  <w:style w:type="paragraph" w:styleId="NoSpacing">
    <w:name w:val="No Spacing"/>
    <w:basedOn w:val="Normal"/>
    <w:uiPriority w:val="1"/>
    <w:qFormat/>
    <w:rsid w:val="00727731"/>
    <w:pPr>
      <w:widowControl/>
      <w:overflowPunct/>
      <w:autoSpaceDE/>
      <w:autoSpaceDN/>
      <w:adjustRightInd/>
      <w:spacing w:before="100" w:beforeAutospacing="1" w:after="100" w:afterAutospacing="1"/>
      <w:contextualSpacing/>
      <w:textAlignment w:val="auto"/>
    </w:pPr>
    <w:rPr>
      <w:rFonts w:ascii="Times New Roman" w:eastAsiaTheme="minorHAnsi" w:hAnsi="Times New Roman"/>
      <w:sz w:val="22"/>
      <w:szCs w:val="22"/>
    </w:rPr>
  </w:style>
  <w:style w:type="paragraph" w:styleId="EndnoteText">
    <w:name w:val="endnote text"/>
    <w:basedOn w:val="Normal"/>
    <w:link w:val="EndnoteTextChar"/>
    <w:uiPriority w:val="99"/>
    <w:semiHidden/>
    <w:unhideWhenUsed/>
    <w:rsid w:val="003E5F26"/>
    <w:pPr>
      <w:widowControl/>
      <w:overflowPunct/>
      <w:autoSpaceDE/>
      <w:autoSpaceDN/>
      <w:adjustRightInd/>
      <w:textAlignment w:val="auto"/>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3E5F26"/>
    <w:rPr>
      <w:sz w:val="20"/>
      <w:szCs w:val="20"/>
    </w:rPr>
  </w:style>
  <w:style w:type="character" w:styleId="EndnoteReference">
    <w:name w:val="endnote reference"/>
    <w:basedOn w:val="DefaultParagraphFont"/>
    <w:uiPriority w:val="99"/>
    <w:semiHidden/>
    <w:unhideWhenUsed/>
    <w:rsid w:val="003E5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09068">
      <w:bodyDiv w:val="1"/>
      <w:marLeft w:val="0"/>
      <w:marRight w:val="0"/>
      <w:marTop w:val="0"/>
      <w:marBottom w:val="0"/>
      <w:divBdr>
        <w:top w:val="none" w:sz="0" w:space="0" w:color="auto"/>
        <w:left w:val="none" w:sz="0" w:space="0" w:color="auto"/>
        <w:bottom w:val="none" w:sz="0" w:space="0" w:color="auto"/>
        <w:right w:val="none" w:sz="0" w:space="0" w:color="auto"/>
      </w:divBdr>
    </w:div>
    <w:div w:id="737674485">
      <w:bodyDiv w:val="1"/>
      <w:marLeft w:val="0"/>
      <w:marRight w:val="0"/>
      <w:marTop w:val="0"/>
      <w:marBottom w:val="0"/>
      <w:divBdr>
        <w:top w:val="none" w:sz="0" w:space="0" w:color="auto"/>
        <w:left w:val="none" w:sz="0" w:space="0" w:color="auto"/>
        <w:bottom w:val="none" w:sz="0" w:space="0" w:color="auto"/>
        <w:right w:val="none" w:sz="0" w:space="0" w:color="auto"/>
      </w:divBdr>
    </w:div>
    <w:div w:id="1404327958">
      <w:bodyDiv w:val="1"/>
      <w:marLeft w:val="0"/>
      <w:marRight w:val="0"/>
      <w:marTop w:val="0"/>
      <w:marBottom w:val="0"/>
      <w:divBdr>
        <w:top w:val="none" w:sz="0" w:space="0" w:color="auto"/>
        <w:left w:val="none" w:sz="0" w:space="0" w:color="auto"/>
        <w:bottom w:val="none" w:sz="0" w:space="0" w:color="auto"/>
        <w:right w:val="none" w:sz="0" w:space="0" w:color="auto"/>
      </w:divBdr>
    </w:div>
    <w:div w:id="1630240133">
      <w:bodyDiv w:val="1"/>
      <w:marLeft w:val="0"/>
      <w:marRight w:val="0"/>
      <w:marTop w:val="0"/>
      <w:marBottom w:val="0"/>
      <w:divBdr>
        <w:top w:val="none" w:sz="0" w:space="0" w:color="auto"/>
        <w:left w:val="none" w:sz="0" w:space="0" w:color="auto"/>
        <w:bottom w:val="none" w:sz="0" w:space="0" w:color="auto"/>
        <w:right w:val="none" w:sz="0" w:space="0" w:color="auto"/>
      </w:divBdr>
    </w:div>
    <w:div w:id="1680547493">
      <w:bodyDiv w:val="1"/>
      <w:marLeft w:val="0"/>
      <w:marRight w:val="0"/>
      <w:marTop w:val="0"/>
      <w:marBottom w:val="0"/>
      <w:divBdr>
        <w:top w:val="none" w:sz="0" w:space="0" w:color="auto"/>
        <w:left w:val="none" w:sz="0" w:space="0" w:color="auto"/>
        <w:bottom w:val="none" w:sz="0" w:space="0" w:color="auto"/>
        <w:right w:val="none" w:sz="0" w:space="0" w:color="auto"/>
      </w:divBdr>
    </w:div>
    <w:div w:id="1699964064">
      <w:bodyDiv w:val="1"/>
      <w:marLeft w:val="0"/>
      <w:marRight w:val="0"/>
      <w:marTop w:val="0"/>
      <w:marBottom w:val="0"/>
      <w:divBdr>
        <w:top w:val="none" w:sz="0" w:space="0" w:color="auto"/>
        <w:left w:val="none" w:sz="0" w:space="0" w:color="auto"/>
        <w:bottom w:val="none" w:sz="0" w:space="0" w:color="auto"/>
        <w:right w:val="none" w:sz="0" w:space="0" w:color="auto"/>
      </w:divBdr>
      <w:divsChild>
        <w:div w:id="1644888984">
          <w:marLeft w:val="0"/>
          <w:marRight w:val="0"/>
          <w:marTop w:val="0"/>
          <w:marBottom w:val="0"/>
          <w:divBdr>
            <w:top w:val="none" w:sz="0" w:space="0" w:color="auto"/>
            <w:left w:val="none" w:sz="0" w:space="0" w:color="auto"/>
            <w:bottom w:val="none" w:sz="0" w:space="0" w:color="auto"/>
            <w:right w:val="none" w:sz="0" w:space="0" w:color="auto"/>
          </w:divBdr>
          <w:divsChild>
            <w:div w:id="2048600079">
              <w:marLeft w:val="0"/>
              <w:marRight w:val="0"/>
              <w:marTop w:val="0"/>
              <w:marBottom w:val="0"/>
              <w:divBdr>
                <w:top w:val="none" w:sz="0" w:space="0" w:color="auto"/>
                <w:left w:val="none" w:sz="0" w:space="0" w:color="auto"/>
                <w:bottom w:val="none" w:sz="0" w:space="0" w:color="auto"/>
                <w:right w:val="none" w:sz="0" w:space="0" w:color="auto"/>
              </w:divBdr>
              <w:divsChild>
                <w:div w:id="462818528">
                  <w:marLeft w:val="0"/>
                  <w:marRight w:val="0"/>
                  <w:marTop w:val="0"/>
                  <w:marBottom w:val="0"/>
                  <w:divBdr>
                    <w:top w:val="none" w:sz="0" w:space="0" w:color="auto"/>
                    <w:left w:val="none" w:sz="0" w:space="0" w:color="auto"/>
                    <w:bottom w:val="none" w:sz="0" w:space="0" w:color="auto"/>
                    <w:right w:val="none" w:sz="0" w:space="0" w:color="auto"/>
                  </w:divBdr>
                  <w:divsChild>
                    <w:div w:id="1082723556">
                      <w:marLeft w:val="0"/>
                      <w:marRight w:val="0"/>
                      <w:marTop w:val="450"/>
                      <w:marBottom w:val="300"/>
                      <w:divBdr>
                        <w:top w:val="none" w:sz="0" w:space="0" w:color="auto"/>
                        <w:left w:val="none" w:sz="0" w:space="0" w:color="auto"/>
                        <w:bottom w:val="none" w:sz="0" w:space="0" w:color="auto"/>
                        <w:right w:val="none" w:sz="0" w:space="0" w:color="auto"/>
                      </w:divBdr>
                      <w:divsChild>
                        <w:div w:id="761876621">
                          <w:marLeft w:val="0"/>
                          <w:marRight w:val="0"/>
                          <w:marTop w:val="0"/>
                          <w:marBottom w:val="300"/>
                          <w:divBdr>
                            <w:top w:val="none" w:sz="0" w:space="0" w:color="auto"/>
                            <w:left w:val="none" w:sz="0" w:space="0" w:color="auto"/>
                            <w:bottom w:val="none" w:sz="0" w:space="0" w:color="auto"/>
                            <w:right w:val="none" w:sz="0" w:space="0" w:color="auto"/>
                          </w:divBdr>
                          <w:divsChild>
                            <w:div w:id="861014505">
                              <w:marLeft w:val="0"/>
                              <w:marRight w:val="0"/>
                              <w:marTop w:val="0"/>
                              <w:marBottom w:val="0"/>
                              <w:divBdr>
                                <w:top w:val="none" w:sz="0" w:space="0" w:color="auto"/>
                                <w:left w:val="none" w:sz="0" w:space="0" w:color="auto"/>
                                <w:bottom w:val="none" w:sz="0" w:space="0" w:color="auto"/>
                                <w:right w:val="none" w:sz="0" w:space="0" w:color="auto"/>
                              </w:divBdr>
                              <w:divsChild>
                                <w:div w:id="1915241164">
                                  <w:marLeft w:val="0"/>
                                  <w:marRight w:val="0"/>
                                  <w:marTop w:val="0"/>
                                  <w:marBottom w:val="0"/>
                                  <w:divBdr>
                                    <w:top w:val="none" w:sz="0" w:space="0" w:color="auto"/>
                                    <w:left w:val="none" w:sz="0" w:space="0" w:color="auto"/>
                                    <w:bottom w:val="none" w:sz="0" w:space="0" w:color="auto"/>
                                    <w:right w:val="none" w:sz="0" w:space="0" w:color="auto"/>
                                  </w:divBdr>
                                  <w:divsChild>
                                    <w:div w:id="462775953">
                                      <w:marLeft w:val="0"/>
                                      <w:marRight w:val="0"/>
                                      <w:marTop w:val="0"/>
                                      <w:marBottom w:val="0"/>
                                      <w:divBdr>
                                        <w:top w:val="none" w:sz="0" w:space="0" w:color="auto"/>
                                        <w:left w:val="none" w:sz="0" w:space="0" w:color="auto"/>
                                        <w:bottom w:val="none" w:sz="0" w:space="0" w:color="auto"/>
                                        <w:right w:val="none" w:sz="0" w:space="0" w:color="auto"/>
                                      </w:divBdr>
                                      <w:divsChild>
                                        <w:div w:id="2100590281">
                                          <w:marLeft w:val="0"/>
                                          <w:marRight w:val="0"/>
                                          <w:marTop w:val="0"/>
                                          <w:marBottom w:val="0"/>
                                          <w:divBdr>
                                            <w:top w:val="none" w:sz="0" w:space="0" w:color="auto"/>
                                            <w:left w:val="none" w:sz="0" w:space="0" w:color="auto"/>
                                            <w:bottom w:val="none" w:sz="0" w:space="0" w:color="auto"/>
                                            <w:right w:val="none" w:sz="0" w:space="0" w:color="auto"/>
                                          </w:divBdr>
                                          <w:divsChild>
                                            <w:div w:id="1308362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3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47F3-3A08-4CA4-B8F3-C0F33CDC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PhRMA</Company>
  <LinksUpToDate>false</LinksUpToDate>
  <CharactersWithSpaces>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Watkins, Marissa</dc:creator>
  <cp:lastModifiedBy>GOPGuest</cp:lastModifiedBy>
  <cp:revision>2</cp:revision>
  <cp:lastPrinted>2018-03-16T12:57:00Z</cp:lastPrinted>
  <dcterms:created xsi:type="dcterms:W3CDTF">2018-04-10T14:54:00Z</dcterms:created>
  <dcterms:modified xsi:type="dcterms:W3CDTF">2018-04-10T14:54:00Z</dcterms:modified>
</cp:coreProperties>
</file>