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D69" w:rsidRPr="00866EB9" w:rsidRDefault="00F42D69" w:rsidP="00F42D69">
      <w:pPr>
        <w:pStyle w:val="Header"/>
        <w:jc w:val="center"/>
        <w:rPr>
          <w:rFonts w:asciiTheme="majorHAnsi" w:hAnsiTheme="majorHAnsi"/>
          <w:szCs w:val="20"/>
        </w:rPr>
      </w:pPr>
      <w:r w:rsidRPr="00866EB9">
        <w:rPr>
          <w:rFonts w:asciiTheme="majorHAnsi" w:hAnsiTheme="majorHAnsi"/>
          <w:noProof/>
          <w:szCs w:val="20"/>
        </w:rPr>
        <w:drawing>
          <wp:inline distT="0" distB="0" distL="0" distR="0" wp14:anchorId="1D0CC653" wp14:editId="0E211B99">
            <wp:extent cx="4389120" cy="834793"/>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mc_logoPMS26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71012" cy="850369"/>
                    </a:xfrm>
                    <a:prstGeom prst="rect">
                      <a:avLst/>
                    </a:prstGeom>
                  </pic:spPr>
                </pic:pic>
              </a:graphicData>
            </a:graphic>
          </wp:inline>
        </w:drawing>
      </w:r>
    </w:p>
    <w:p w:rsidR="006D4C20" w:rsidRPr="00866EB9" w:rsidRDefault="006D4C20" w:rsidP="00F42D69">
      <w:pPr>
        <w:spacing w:after="0"/>
        <w:rPr>
          <w:rFonts w:asciiTheme="majorHAnsi" w:hAnsiTheme="majorHAnsi"/>
          <w:szCs w:val="20"/>
        </w:rPr>
      </w:pPr>
    </w:p>
    <w:p w:rsidR="00757177" w:rsidRPr="0048718B" w:rsidRDefault="00757177" w:rsidP="00866EB9">
      <w:pPr>
        <w:spacing w:after="0"/>
        <w:ind w:firstLine="720"/>
        <w:rPr>
          <w:rFonts w:asciiTheme="majorHAnsi" w:hAnsiTheme="majorHAnsi"/>
          <w:sz w:val="21"/>
          <w:szCs w:val="21"/>
        </w:rPr>
      </w:pPr>
      <w:r w:rsidRPr="0048718B">
        <w:rPr>
          <w:rFonts w:asciiTheme="majorHAnsi" w:hAnsiTheme="majorHAnsi"/>
          <w:sz w:val="21"/>
          <w:szCs w:val="21"/>
        </w:rPr>
        <w:t>May 8, 2019</w:t>
      </w:r>
    </w:p>
    <w:p w:rsidR="00F42D69" w:rsidRPr="0048718B" w:rsidRDefault="00F42D69" w:rsidP="00F42D69">
      <w:pPr>
        <w:spacing w:after="0"/>
        <w:ind w:left="720" w:right="720"/>
        <w:rPr>
          <w:rFonts w:asciiTheme="majorHAnsi" w:hAnsiTheme="majorHAnsi"/>
          <w:sz w:val="21"/>
          <w:szCs w:val="21"/>
        </w:rPr>
      </w:pPr>
    </w:p>
    <w:p w:rsidR="00F42D69" w:rsidRPr="0048718B" w:rsidRDefault="00F42D69" w:rsidP="00F42D69">
      <w:pPr>
        <w:spacing w:after="0"/>
        <w:ind w:left="720" w:right="720"/>
        <w:rPr>
          <w:rFonts w:asciiTheme="majorHAnsi" w:hAnsiTheme="majorHAnsi"/>
          <w:sz w:val="21"/>
          <w:szCs w:val="21"/>
        </w:rPr>
        <w:sectPr w:rsidR="00F42D69" w:rsidRPr="0048718B" w:rsidSect="00AA7004">
          <w:footerReference w:type="default" r:id="rId9"/>
          <w:pgSz w:w="12240" w:h="15840"/>
          <w:pgMar w:top="720" w:right="720" w:bottom="720" w:left="720" w:header="720" w:footer="720" w:gutter="0"/>
          <w:cols w:space="720"/>
          <w:docGrid w:linePitch="360"/>
        </w:sectPr>
      </w:pPr>
    </w:p>
    <w:p w:rsidR="00966D87" w:rsidRPr="0048718B" w:rsidRDefault="00F42D69" w:rsidP="00F42D69">
      <w:pPr>
        <w:spacing w:after="0"/>
        <w:ind w:left="720" w:right="720"/>
        <w:rPr>
          <w:rFonts w:asciiTheme="majorHAnsi" w:hAnsiTheme="majorHAnsi"/>
          <w:sz w:val="21"/>
          <w:szCs w:val="21"/>
        </w:rPr>
      </w:pPr>
      <w:r w:rsidRPr="0048718B">
        <w:rPr>
          <w:rFonts w:asciiTheme="majorHAnsi" w:hAnsiTheme="majorHAnsi"/>
          <w:sz w:val="21"/>
          <w:szCs w:val="21"/>
        </w:rPr>
        <w:t>Senator Roger Chamberlain</w:t>
      </w:r>
    </w:p>
    <w:p w:rsidR="00F42D69" w:rsidRPr="0048718B" w:rsidRDefault="00F42D69" w:rsidP="00F42D69">
      <w:pPr>
        <w:spacing w:after="0"/>
        <w:ind w:left="720" w:right="720"/>
        <w:rPr>
          <w:rFonts w:asciiTheme="majorHAnsi" w:hAnsiTheme="majorHAnsi"/>
          <w:sz w:val="21"/>
          <w:szCs w:val="21"/>
        </w:rPr>
      </w:pPr>
      <w:r w:rsidRPr="0048718B">
        <w:rPr>
          <w:rFonts w:asciiTheme="majorHAnsi" w:hAnsiTheme="majorHAnsi"/>
          <w:sz w:val="21"/>
          <w:szCs w:val="21"/>
        </w:rPr>
        <w:t xml:space="preserve">Senator Ann Rest </w:t>
      </w:r>
    </w:p>
    <w:p w:rsidR="00F42D69" w:rsidRPr="0048718B" w:rsidRDefault="00F42D69" w:rsidP="00F62309">
      <w:pPr>
        <w:spacing w:after="0"/>
        <w:ind w:left="720" w:right="720"/>
        <w:rPr>
          <w:rFonts w:asciiTheme="majorHAnsi" w:hAnsiTheme="majorHAnsi"/>
          <w:sz w:val="21"/>
          <w:szCs w:val="21"/>
        </w:rPr>
      </w:pPr>
      <w:r w:rsidRPr="0048718B">
        <w:rPr>
          <w:rFonts w:asciiTheme="majorHAnsi" w:hAnsiTheme="majorHAnsi"/>
          <w:sz w:val="21"/>
          <w:szCs w:val="21"/>
        </w:rPr>
        <w:t>Senator Gary Dahms</w:t>
      </w:r>
    </w:p>
    <w:p w:rsidR="00F42D69" w:rsidRPr="0048718B" w:rsidRDefault="00F42D69" w:rsidP="00F42D69">
      <w:pPr>
        <w:spacing w:after="0"/>
        <w:ind w:left="720" w:right="720"/>
        <w:rPr>
          <w:rFonts w:asciiTheme="majorHAnsi" w:hAnsiTheme="majorHAnsi"/>
          <w:sz w:val="21"/>
          <w:szCs w:val="21"/>
        </w:rPr>
      </w:pPr>
      <w:r w:rsidRPr="0048718B">
        <w:rPr>
          <w:rFonts w:asciiTheme="majorHAnsi" w:hAnsiTheme="majorHAnsi"/>
          <w:sz w:val="21"/>
          <w:szCs w:val="21"/>
        </w:rPr>
        <w:t>Senator David Senjem</w:t>
      </w:r>
    </w:p>
    <w:p w:rsidR="00F62309" w:rsidRPr="0048718B" w:rsidRDefault="00F62309" w:rsidP="00F42D69">
      <w:pPr>
        <w:spacing w:after="0"/>
        <w:ind w:left="720" w:right="720"/>
        <w:rPr>
          <w:rFonts w:asciiTheme="majorHAnsi" w:hAnsiTheme="majorHAnsi"/>
          <w:sz w:val="21"/>
          <w:szCs w:val="21"/>
        </w:rPr>
      </w:pPr>
      <w:r w:rsidRPr="0048718B">
        <w:rPr>
          <w:rFonts w:asciiTheme="majorHAnsi" w:hAnsiTheme="majorHAnsi"/>
          <w:sz w:val="21"/>
          <w:szCs w:val="21"/>
        </w:rPr>
        <w:t>Senator Jeff Howe</w:t>
      </w:r>
    </w:p>
    <w:p w:rsidR="00F42D69" w:rsidRPr="0048718B" w:rsidRDefault="00F42D69" w:rsidP="00F42D69">
      <w:pPr>
        <w:spacing w:after="0"/>
        <w:ind w:left="720" w:right="720"/>
        <w:rPr>
          <w:rFonts w:asciiTheme="majorHAnsi" w:hAnsiTheme="majorHAnsi"/>
          <w:sz w:val="21"/>
          <w:szCs w:val="21"/>
        </w:rPr>
      </w:pPr>
      <w:r w:rsidRPr="0048718B">
        <w:rPr>
          <w:rFonts w:asciiTheme="majorHAnsi" w:hAnsiTheme="majorHAnsi"/>
          <w:sz w:val="21"/>
          <w:szCs w:val="21"/>
        </w:rPr>
        <w:t xml:space="preserve">Representative </w:t>
      </w:r>
      <w:r w:rsidR="00F62309" w:rsidRPr="0048718B">
        <w:rPr>
          <w:rFonts w:asciiTheme="majorHAnsi" w:hAnsiTheme="majorHAnsi"/>
          <w:sz w:val="21"/>
          <w:szCs w:val="21"/>
        </w:rPr>
        <w:t>Paul Marquart</w:t>
      </w:r>
    </w:p>
    <w:p w:rsidR="00F42D69" w:rsidRPr="0048718B" w:rsidRDefault="00F42D69" w:rsidP="00F42D69">
      <w:pPr>
        <w:spacing w:after="0"/>
        <w:ind w:left="720" w:right="720"/>
        <w:rPr>
          <w:rFonts w:asciiTheme="majorHAnsi" w:hAnsiTheme="majorHAnsi"/>
          <w:sz w:val="21"/>
          <w:szCs w:val="21"/>
        </w:rPr>
      </w:pPr>
      <w:r w:rsidRPr="0048718B">
        <w:rPr>
          <w:rFonts w:asciiTheme="majorHAnsi" w:hAnsiTheme="majorHAnsi"/>
          <w:sz w:val="21"/>
          <w:szCs w:val="21"/>
        </w:rPr>
        <w:t xml:space="preserve">Representative </w:t>
      </w:r>
      <w:r w:rsidR="00F62309" w:rsidRPr="0048718B">
        <w:rPr>
          <w:rFonts w:asciiTheme="majorHAnsi" w:hAnsiTheme="majorHAnsi"/>
          <w:sz w:val="21"/>
          <w:szCs w:val="21"/>
        </w:rPr>
        <w:t>Greg Davids</w:t>
      </w:r>
    </w:p>
    <w:p w:rsidR="00F42D69" w:rsidRPr="0048718B" w:rsidRDefault="00F42D69" w:rsidP="00F42D69">
      <w:pPr>
        <w:spacing w:after="0"/>
        <w:ind w:left="720" w:right="720"/>
        <w:rPr>
          <w:rFonts w:asciiTheme="majorHAnsi" w:hAnsiTheme="majorHAnsi"/>
          <w:sz w:val="21"/>
          <w:szCs w:val="21"/>
        </w:rPr>
      </w:pPr>
      <w:r w:rsidRPr="0048718B">
        <w:rPr>
          <w:rFonts w:asciiTheme="majorHAnsi" w:hAnsiTheme="majorHAnsi"/>
          <w:sz w:val="21"/>
          <w:szCs w:val="21"/>
        </w:rPr>
        <w:t xml:space="preserve">Representative </w:t>
      </w:r>
      <w:r w:rsidR="00F63938" w:rsidRPr="0048718B">
        <w:rPr>
          <w:rFonts w:asciiTheme="majorHAnsi" w:hAnsiTheme="majorHAnsi"/>
          <w:sz w:val="21"/>
          <w:szCs w:val="21"/>
        </w:rPr>
        <w:t>Diane Loeffler</w:t>
      </w:r>
    </w:p>
    <w:p w:rsidR="00F42D69" w:rsidRPr="0048718B" w:rsidRDefault="00F42D69" w:rsidP="00F42D69">
      <w:pPr>
        <w:spacing w:after="0"/>
        <w:ind w:left="720" w:right="720"/>
        <w:rPr>
          <w:rFonts w:asciiTheme="majorHAnsi" w:hAnsiTheme="majorHAnsi"/>
          <w:sz w:val="21"/>
          <w:szCs w:val="21"/>
        </w:rPr>
      </w:pPr>
      <w:r w:rsidRPr="0048718B">
        <w:rPr>
          <w:rFonts w:asciiTheme="majorHAnsi" w:hAnsiTheme="majorHAnsi"/>
          <w:sz w:val="21"/>
          <w:szCs w:val="21"/>
        </w:rPr>
        <w:t xml:space="preserve">Representative </w:t>
      </w:r>
      <w:r w:rsidR="00F63938" w:rsidRPr="0048718B">
        <w:rPr>
          <w:rFonts w:asciiTheme="majorHAnsi" w:hAnsiTheme="majorHAnsi"/>
          <w:sz w:val="21"/>
          <w:szCs w:val="21"/>
        </w:rPr>
        <w:t>Aisha Gomez</w:t>
      </w:r>
    </w:p>
    <w:p w:rsidR="00F42D69" w:rsidRPr="0048718B" w:rsidRDefault="00F42D69" w:rsidP="00F42D69">
      <w:pPr>
        <w:spacing w:after="0"/>
        <w:ind w:left="720" w:right="720"/>
        <w:rPr>
          <w:rFonts w:asciiTheme="majorHAnsi" w:hAnsiTheme="majorHAnsi"/>
          <w:sz w:val="21"/>
          <w:szCs w:val="21"/>
        </w:rPr>
      </w:pPr>
      <w:r w:rsidRPr="0048718B">
        <w:rPr>
          <w:rFonts w:asciiTheme="majorHAnsi" w:hAnsiTheme="majorHAnsi"/>
          <w:sz w:val="21"/>
          <w:szCs w:val="21"/>
        </w:rPr>
        <w:t xml:space="preserve">Representative </w:t>
      </w:r>
      <w:r w:rsidR="00F63938" w:rsidRPr="0048718B">
        <w:rPr>
          <w:rFonts w:asciiTheme="majorHAnsi" w:hAnsiTheme="majorHAnsi"/>
          <w:sz w:val="21"/>
          <w:szCs w:val="21"/>
        </w:rPr>
        <w:t>Dave Lislegard</w:t>
      </w:r>
    </w:p>
    <w:p w:rsidR="00F42D69" w:rsidRPr="0048718B" w:rsidRDefault="00F42D69" w:rsidP="00866EB9">
      <w:pPr>
        <w:spacing w:after="0"/>
        <w:ind w:right="720"/>
        <w:rPr>
          <w:rFonts w:asciiTheme="majorHAnsi" w:hAnsiTheme="majorHAnsi"/>
          <w:sz w:val="21"/>
          <w:szCs w:val="21"/>
        </w:rPr>
        <w:sectPr w:rsidR="00F42D69" w:rsidRPr="0048718B" w:rsidSect="00F42D69">
          <w:type w:val="continuous"/>
          <w:pgSz w:w="12240" w:h="15840"/>
          <w:pgMar w:top="720" w:right="720" w:bottom="720" w:left="720" w:header="720" w:footer="720" w:gutter="0"/>
          <w:cols w:num="2" w:space="720"/>
          <w:docGrid w:linePitch="360"/>
        </w:sectPr>
      </w:pPr>
    </w:p>
    <w:p w:rsidR="00F42D69" w:rsidRPr="0048718B" w:rsidRDefault="00F42D69" w:rsidP="00866EB9">
      <w:pPr>
        <w:spacing w:after="0"/>
        <w:ind w:right="720"/>
        <w:rPr>
          <w:rFonts w:asciiTheme="majorHAnsi" w:hAnsiTheme="majorHAnsi"/>
          <w:sz w:val="21"/>
          <w:szCs w:val="21"/>
        </w:rPr>
      </w:pPr>
    </w:p>
    <w:p w:rsidR="001C5C73" w:rsidRPr="0048718B" w:rsidRDefault="001C5C73" w:rsidP="00F42D69">
      <w:pPr>
        <w:spacing w:after="0"/>
        <w:ind w:left="720" w:right="720"/>
        <w:rPr>
          <w:rFonts w:asciiTheme="majorHAnsi" w:hAnsiTheme="majorHAnsi" w:cstheme="minorHAnsi"/>
          <w:sz w:val="21"/>
          <w:szCs w:val="21"/>
        </w:rPr>
      </w:pPr>
    </w:p>
    <w:p w:rsidR="00863E8E" w:rsidRPr="0048718B" w:rsidRDefault="001C5C73" w:rsidP="00F42D69">
      <w:pPr>
        <w:spacing w:after="0"/>
        <w:ind w:left="720" w:right="720"/>
        <w:rPr>
          <w:rFonts w:asciiTheme="majorHAnsi" w:hAnsiTheme="majorHAnsi" w:cstheme="minorHAnsi"/>
          <w:sz w:val="21"/>
          <w:szCs w:val="21"/>
        </w:rPr>
      </w:pPr>
      <w:r w:rsidRPr="0048718B">
        <w:rPr>
          <w:rFonts w:asciiTheme="majorHAnsi" w:hAnsiTheme="majorHAnsi" w:cstheme="minorHAnsi"/>
          <w:sz w:val="21"/>
          <w:szCs w:val="21"/>
        </w:rPr>
        <w:t xml:space="preserve">Dear </w:t>
      </w:r>
      <w:r w:rsidR="00F42D69" w:rsidRPr="0048718B">
        <w:rPr>
          <w:rFonts w:asciiTheme="majorHAnsi" w:hAnsiTheme="majorHAnsi" w:cstheme="minorHAnsi"/>
          <w:sz w:val="21"/>
          <w:szCs w:val="21"/>
        </w:rPr>
        <w:t xml:space="preserve">Members of the Conference Committee (HF </w:t>
      </w:r>
      <w:r w:rsidR="001F242F" w:rsidRPr="0048718B">
        <w:rPr>
          <w:rFonts w:asciiTheme="majorHAnsi" w:hAnsiTheme="majorHAnsi" w:cstheme="minorHAnsi"/>
          <w:sz w:val="21"/>
          <w:szCs w:val="21"/>
        </w:rPr>
        <w:t>2125</w:t>
      </w:r>
      <w:r w:rsidR="00F42D69" w:rsidRPr="0048718B">
        <w:rPr>
          <w:rFonts w:asciiTheme="majorHAnsi" w:hAnsiTheme="majorHAnsi" w:cstheme="minorHAnsi"/>
          <w:sz w:val="21"/>
          <w:szCs w:val="21"/>
        </w:rPr>
        <w:t xml:space="preserve">), </w:t>
      </w:r>
      <w:r w:rsidRPr="0048718B">
        <w:rPr>
          <w:rFonts w:asciiTheme="majorHAnsi" w:hAnsiTheme="majorHAnsi" w:cstheme="minorHAnsi"/>
          <w:sz w:val="21"/>
          <w:szCs w:val="21"/>
        </w:rPr>
        <w:t xml:space="preserve"> </w:t>
      </w:r>
    </w:p>
    <w:p w:rsidR="009866F2" w:rsidRPr="0048718B" w:rsidRDefault="009866F2" w:rsidP="00F42D69">
      <w:pPr>
        <w:spacing w:after="0"/>
        <w:ind w:left="720" w:right="720"/>
        <w:rPr>
          <w:rFonts w:asciiTheme="majorHAnsi" w:hAnsiTheme="majorHAnsi" w:cstheme="minorHAnsi"/>
          <w:sz w:val="21"/>
          <w:szCs w:val="21"/>
        </w:rPr>
      </w:pPr>
    </w:p>
    <w:p w:rsidR="0048718B" w:rsidRPr="0048718B" w:rsidRDefault="001C5C73" w:rsidP="0048718B">
      <w:pPr>
        <w:spacing w:before="120" w:after="120"/>
        <w:ind w:left="720" w:right="720"/>
        <w:rPr>
          <w:rFonts w:asciiTheme="majorHAnsi" w:hAnsiTheme="majorHAnsi" w:cstheme="minorHAnsi"/>
          <w:b/>
          <w:sz w:val="21"/>
          <w:szCs w:val="21"/>
        </w:rPr>
      </w:pPr>
      <w:r w:rsidRPr="0048718B">
        <w:rPr>
          <w:rFonts w:asciiTheme="majorHAnsi" w:hAnsiTheme="majorHAnsi" w:cstheme="minorHAnsi"/>
          <w:sz w:val="21"/>
          <w:szCs w:val="21"/>
        </w:rPr>
        <w:t xml:space="preserve">The Association of Minnesota Counties </w:t>
      </w:r>
      <w:r w:rsidR="004A571F" w:rsidRPr="0048718B">
        <w:rPr>
          <w:rFonts w:asciiTheme="majorHAnsi" w:hAnsiTheme="majorHAnsi" w:cstheme="minorHAnsi"/>
          <w:sz w:val="21"/>
          <w:szCs w:val="21"/>
        </w:rPr>
        <w:t xml:space="preserve">(AMC) </w:t>
      </w:r>
      <w:r w:rsidR="00E536A5" w:rsidRPr="0048718B">
        <w:rPr>
          <w:rFonts w:asciiTheme="majorHAnsi" w:hAnsiTheme="majorHAnsi" w:cstheme="minorHAnsi"/>
          <w:sz w:val="21"/>
          <w:szCs w:val="21"/>
        </w:rPr>
        <w:t xml:space="preserve">is grateful for both chamber’s work towards passing a comprehensive tax bill, </w:t>
      </w:r>
      <w:r w:rsidR="00B24812" w:rsidRPr="0048718B">
        <w:rPr>
          <w:rFonts w:asciiTheme="majorHAnsi" w:hAnsiTheme="majorHAnsi" w:cstheme="minorHAnsi"/>
          <w:sz w:val="21"/>
          <w:szCs w:val="21"/>
        </w:rPr>
        <w:t xml:space="preserve">currently identified as </w:t>
      </w:r>
      <w:r w:rsidR="00F42D69" w:rsidRPr="0048718B">
        <w:rPr>
          <w:rFonts w:asciiTheme="majorHAnsi" w:hAnsiTheme="majorHAnsi" w:cstheme="minorHAnsi"/>
          <w:sz w:val="21"/>
          <w:szCs w:val="21"/>
        </w:rPr>
        <w:t>HF</w:t>
      </w:r>
      <w:r w:rsidR="00160E5E" w:rsidRPr="0048718B">
        <w:rPr>
          <w:rFonts w:asciiTheme="majorHAnsi" w:hAnsiTheme="majorHAnsi" w:cstheme="minorHAnsi"/>
          <w:sz w:val="21"/>
          <w:szCs w:val="21"/>
        </w:rPr>
        <w:t xml:space="preserve"> 2125.</w:t>
      </w:r>
      <w:r w:rsidR="009866F2" w:rsidRPr="0048718B">
        <w:rPr>
          <w:rFonts w:asciiTheme="majorHAnsi" w:hAnsiTheme="majorHAnsi" w:cstheme="minorHAnsi"/>
          <w:sz w:val="21"/>
          <w:szCs w:val="21"/>
        </w:rPr>
        <w:t xml:space="preserve"> </w:t>
      </w:r>
      <w:r w:rsidR="00E03E68" w:rsidRPr="0048718B">
        <w:rPr>
          <w:rFonts w:asciiTheme="majorHAnsi" w:hAnsiTheme="majorHAnsi" w:cstheme="minorHAnsi"/>
          <w:sz w:val="21"/>
          <w:szCs w:val="21"/>
        </w:rPr>
        <w:t xml:space="preserve"> </w:t>
      </w:r>
      <w:r w:rsidR="00AC77F9" w:rsidRPr="0048718B">
        <w:rPr>
          <w:rFonts w:asciiTheme="majorHAnsi" w:hAnsiTheme="majorHAnsi" w:cstheme="minorHAnsi"/>
          <w:sz w:val="21"/>
          <w:szCs w:val="21"/>
        </w:rPr>
        <w:t xml:space="preserve">As members are well aware, counties </w:t>
      </w:r>
      <w:r w:rsidR="009866F2" w:rsidRPr="0048718B">
        <w:rPr>
          <w:rFonts w:asciiTheme="majorHAnsi" w:hAnsiTheme="majorHAnsi" w:cstheme="minorHAnsi"/>
          <w:sz w:val="21"/>
          <w:szCs w:val="21"/>
        </w:rPr>
        <w:t>rely on property taxes as their main source of revenue in providing valuable and often ma</w:t>
      </w:r>
      <w:r w:rsidR="004A571F" w:rsidRPr="0048718B">
        <w:rPr>
          <w:rFonts w:asciiTheme="majorHAnsi" w:hAnsiTheme="majorHAnsi" w:cstheme="minorHAnsi"/>
          <w:sz w:val="21"/>
          <w:szCs w:val="21"/>
        </w:rPr>
        <w:t>ndated services to constituents</w:t>
      </w:r>
      <w:r w:rsidRPr="0048718B">
        <w:rPr>
          <w:rFonts w:asciiTheme="majorHAnsi" w:hAnsiTheme="majorHAnsi" w:cstheme="minorHAnsi"/>
          <w:b/>
          <w:sz w:val="21"/>
          <w:szCs w:val="21"/>
        </w:rPr>
        <w:t xml:space="preserve">.  </w:t>
      </w:r>
    </w:p>
    <w:p w:rsidR="00F62309" w:rsidRPr="0048718B" w:rsidRDefault="003B6EF4" w:rsidP="0048718B">
      <w:pPr>
        <w:spacing w:before="120" w:after="120"/>
        <w:ind w:left="720" w:right="720"/>
        <w:rPr>
          <w:rFonts w:asciiTheme="majorHAnsi" w:hAnsiTheme="majorHAnsi" w:cstheme="minorHAnsi"/>
          <w:sz w:val="21"/>
          <w:szCs w:val="21"/>
        </w:rPr>
      </w:pPr>
      <w:r w:rsidRPr="0048718B">
        <w:rPr>
          <w:rFonts w:asciiTheme="majorHAnsi" w:hAnsiTheme="majorHAnsi" w:cstheme="minorHAnsi"/>
          <w:b/>
          <w:sz w:val="21"/>
          <w:szCs w:val="21"/>
        </w:rPr>
        <w:t xml:space="preserve">To this extent, </w:t>
      </w:r>
      <w:r w:rsidR="00F62309" w:rsidRPr="0048718B">
        <w:rPr>
          <w:rFonts w:asciiTheme="majorHAnsi" w:hAnsiTheme="majorHAnsi" w:cstheme="minorHAnsi"/>
          <w:b/>
          <w:sz w:val="21"/>
          <w:szCs w:val="21"/>
        </w:rPr>
        <w:t xml:space="preserve">AMC is extremely grateful for the House </w:t>
      </w:r>
      <w:r w:rsidR="00F34C42" w:rsidRPr="0048718B">
        <w:rPr>
          <w:rFonts w:asciiTheme="majorHAnsi" w:hAnsiTheme="majorHAnsi" w:cstheme="minorHAnsi"/>
          <w:b/>
          <w:sz w:val="21"/>
          <w:szCs w:val="21"/>
        </w:rPr>
        <w:t xml:space="preserve">and Governor’s </w:t>
      </w:r>
      <w:r w:rsidR="00F62309" w:rsidRPr="0048718B">
        <w:rPr>
          <w:rFonts w:asciiTheme="majorHAnsi" w:hAnsiTheme="majorHAnsi" w:cstheme="minorHAnsi"/>
          <w:b/>
          <w:sz w:val="21"/>
          <w:szCs w:val="21"/>
        </w:rPr>
        <w:t>inclusion of an association priorit</w:t>
      </w:r>
      <w:r w:rsidR="00F34C42" w:rsidRPr="0048718B">
        <w:rPr>
          <w:rFonts w:asciiTheme="majorHAnsi" w:hAnsiTheme="majorHAnsi" w:cstheme="minorHAnsi"/>
          <w:b/>
          <w:sz w:val="21"/>
          <w:szCs w:val="21"/>
        </w:rPr>
        <w:t>y—</w:t>
      </w:r>
      <w:r w:rsidR="00F62309" w:rsidRPr="0048718B">
        <w:rPr>
          <w:rFonts w:asciiTheme="majorHAnsi" w:hAnsiTheme="majorHAnsi" w:cstheme="minorHAnsi"/>
          <w:b/>
          <w:sz w:val="21"/>
          <w:szCs w:val="21"/>
        </w:rPr>
        <w:t xml:space="preserve"> additional funding for County Program Aid</w:t>
      </w:r>
      <w:r w:rsidR="00560053">
        <w:rPr>
          <w:rFonts w:asciiTheme="majorHAnsi" w:hAnsiTheme="majorHAnsi" w:cstheme="minorHAnsi"/>
          <w:b/>
          <w:sz w:val="21"/>
          <w:szCs w:val="21"/>
        </w:rPr>
        <w:t xml:space="preserve">.  Funding this proposal would provide </w:t>
      </w:r>
      <w:r w:rsidR="00F62309" w:rsidRPr="0048718B">
        <w:rPr>
          <w:rFonts w:asciiTheme="majorHAnsi" w:hAnsiTheme="majorHAnsi" w:cstheme="minorHAnsi"/>
          <w:b/>
          <w:sz w:val="21"/>
          <w:szCs w:val="21"/>
        </w:rPr>
        <w:t xml:space="preserve">vital property tax and mandate relief </w:t>
      </w:r>
      <w:bookmarkStart w:id="0" w:name="_GoBack"/>
      <w:bookmarkEnd w:id="0"/>
      <w:r w:rsidR="00F62309" w:rsidRPr="0048718B">
        <w:rPr>
          <w:rFonts w:asciiTheme="majorHAnsi" w:hAnsiTheme="majorHAnsi" w:cstheme="minorHAnsi"/>
          <w:b/>
          <w:sz w:val="21"/>
          <w:szCs w:val="21"/>
        </w:rPr>
        <w:t xml:space="preserve">that </w:t>
      </w:r>
      <w:r w:rsidRPr="0048718B">
        <w:rPr>
          <w:rFonts w:asciiTheme="majorHAnsi" w:hAnsiTheme="majorHAnsi" w:cstheme="minorHAnsi"/>
          <w:b/>
          <w:sz w:val="21"/>
          <w:szCs w:val="21"/>
        </w:rPr>
        <w:t xml:space="preserve">would have </w:t>
      </w:r>
      <w:r w:rsidR="00F62309" w:rsidRPr="0048718B">
        <w:rPr>
          <w:rFonts w:asciiTheme="majorHAnsi" w:hAnsiTheme="majorHAnsi" w:cstheme="minorHAnsi"/>
          <w:b/>
          <w:sz w:val="21"/>
          <w:szCs w:val="21"/>
        </w:rPr>
        <w:t xml:space="preserve">positive impacts </w:t>
      </w:r>
      <w:r w:rsidRPr="0048718B">
        <w:rPr>
          <w:rFonts w:asciiTheme="majorHAnsi" w:hAnsiTheme="majorHAnsi" w:cstheme="minorHAnsi"/>
          <w:b/>
          <w:sz w:val="21"/>
          <w:szCs w:val="21"/>
        </w:rPr>
        <w:t>on county budgets and property taxpayers.</w:t>
      </w:r>
      <w:r w:rsidR="001F242F" w:rsidRPr="0048718B">
        <w:rPr>
          <w:rFonts w:asciiTheme="majorHAnsi" w:hAnsiTheme="majorHAnsi" w:cstheme="minorHAnsi"/>
          <w:b/>
          <w:sz w:val="21"/>
          <w:szCs w:val="21"/>
        </w:rPr>
        <w:t xml:space="preserve"> We also appreciate the Senate’s recognition of the</w:t>
      </w:r>
      <w:r w:rsidR="003B4E61" w:rsidRPr="0048718B">
        <w:rPr>
          <w:rFonts w:asciiTheme="majorHAnsi" w:hAnsiTheme="majorHAnsi" w:cstheme="minorHAnsi"/>
          <w:b/>
          <w:sz w:val="21"/>
          <w:szCs w:val="21"/>
        </w:rPr>
        <w:t xml:space="preserve"> role counties provide regarding Indian Child Welfare Act cases and the disproportionate impact these cases can on county budgets</w:t>
      </w:r>
      <w:r w:rsidR="001F242F" w:rsidRPr="0048718B">
        <w:rPr>
          <w:rFonts w:asciiTheme="majorHAnsi" w:hAnsiTheme="majorHAnsi" w:cstheme="minorHAnsi"/>
          <w:b/>
          <w:sz w:val="21"/>
          <w:szCs w:val="21"/>
        </w:rPr>
        <w:t xml:space="preserve">.   </w:t>
      </w:r>
      <w:r w:rsidR="001F242F" w:rsidRPr="0048718B">
        <w:rPr>
          <w:rFonts w:asciiTheme="majorHAnsi" w:hAnsiTheme="majorHAnsi" w:cstheme="minorHAnsi"/>
          <w:sz w:val="21"/>
          <w:szCs w:val="21"/>
        </w:rPr>
        <w:t xml:space="preserve">As the conference committee continues, we hope that conferees from both chambers will recognize the critical roles counties play on behalf of the state and the importance of including property tax relief as part of any/all larger goals of taxpayer relief. </w:t>
      </w:r>
    </w:p>
    <w:p w:rsidR="00E03E68" w:rsidRPr="0048718B" w:rsidRDefault="00E536A5" w:rsidP="0048718B">
      <w:pPr>
        <w:spacing w:before="120" w:after="120"/>
        <w:ind w:left="720" w:right="720"/>
        <w:rPr>
          <w:rFonts w:asciiTheme="majorHAnsi" w:hAnsiTheme="majorHAnsi"/>
          <w:noProof/>
          <w:sz w:val="21"/>
          <w:szCs w:val="21"/>
        </w:rPr>
      </w:pPr>
      <w:r w:rsidRPr="0048718B">
        <w:rPr>
          <w:rFonts w:asciiTheme="majorHAnsi" w:hAnsiTheme="majorHAnsi" w:cstheme="minorHAnsi"/>
          <w:sz w:val="21"/>
          <w:szCs w:val="21"/>
        </w:rPr>
        <w:t xml:space="preserve">Please also find attached a </w:t>
      </w:r>
      <w:r w:rsidR="00280561" w:rsidRPr="0048718B">
        <w:rPr>
          <w:rFonts w:asciiTheme="majorHAnsi" w:hAnsiTheme="majorHAnsi" w:cstheme="minorHAnsi"/>
          <w:sz w:val="21"/>
          <w:szCs w:val="21"/>
        </w:rPr>
        <w:t>condensed</w:t>
      </w:r>
      <w:r w:rsidR="00E03E68" w:rsidRPr="0048718B">
        <w:rPr>
          <w:rFonts w:asciiTheme="majorHAnsi" w:hAnsiTheme="majorHAnsi" w:cstheme="minorHAnsi"/>
          <w:sz w:val="21"/>
          <w:szCs w:val="21"/>
        </w:rPr>
        <w:t xml:space="preserve"> list of </w:t>
      </w:r>
      <w:r w:rsidR="00280561" w:rsidRPr="0048718B">
        <w:rPr>
          <w:rFonts w:asciiTheme="majorHAnsi" w:hAnsiTheme="majorHAnsi" w:cstheme="minorHAnsi"/>
          <w:sz w:val="21"/>
          <w:szCs w:val="21"/>
        </w:rPr>
        <w:t xml:space="preserve">the foremost </w:t>
      </w:r>
      <w:r w:rsidR="00E03E68" w:rsidRPr="0048718B">
        <w:rPr>
          <w:rFonts w:asciiTheme="majorHAnsi" w:hAnsiTheme="majorHAnsi" w:cstheme="minorHAnsi"/>
          <w:sz w:val="21"/>
          <w:szCs w:val="21"/>
        </w:rPr>
        <w:t xml:space="preserve">provisions </w:t>
      </w:r>
      <w:r w:rsidR="001F242F" w:rsidRPr="0048718B">
        <w:rPr>
          <w:rFonts w:asciiTheme="majorHAnsi" w:hAnsiTheme="majorHAnsi" w:cstheme="minorHAnsi"/>
          <w:sz w:val="21"/>
          <w:szCs w:val="21"/>
        </w:rPr>
        <w:t>the Association of Minnesota Counties is</w:t>
      </w:r>
      <w:r w:rsidR="00E03E68" w:rsidRPr="0048718B">
        <w:rPr>
          <w:rFonts w:asciiTheme="majorHAnsi" w:hAnsiTheme="majorHAnsi" w:cstheme="minorHAnsi"/>
          <w:sz w:val="21"/>
          <w:szCs w:val="21"/>
        </w:rPr>
        <w:t xml:space="preserve"> supportive or concerned with.  </w:t>
      </w:r>
      <w:r w:rsidR="001F242F" w:rsidRPr="0048718B">
        <w:rPr>
          <w:rFonts w:asciiTheme="majorHAnsi" w:hAnsiTheme="majorHAnsi" w:cstheme="minorHAnsi"/>
          <w:sz w:val="21"/>
          <w:szCs w:val="21"/>
        </w:rPr>
        <w:t>AMC</w:t>
      </w:r>
      <w:r w:rsidR="00E03E68" w:rsidRPr="0048718B">
        <w:rPr>
          <w:rFonts w:asciiTheme="majorHAnsi" w:hAnsiTheme="majorHAnsi" w:cstheme="minorHAnsi"/>
          <w:sz w:val="21"/>
          <w:szCs w:val="21"/>
        </w:rPr>
        <w:t xml:space="preserve"> appreciates your willingness to consider these positions going forward.</w:t>
      </w:r>
      <w:r w:rsidR="006D4C20" w:rsidRPr="0048718B">
        <w:rPr>
          <w:rFonts w:asciiTheme="majorHAnsi" w:hAnsiTheme="majorHAnsi"/>
          <w:b/>
          <w:noProof/>
          <w:sz w:val="21"/>
          <w:szCs w:val="21"/>
        </w:rPr>
        <w:t xml:space="preserve"> </w:t>
      </w:r>
      <w:r w:rsidR="0048718B" w:rsidRPr="0048718B">
        <w:rPr>
          <w:rFonts w:asciiTheme="majorHAnsi" w:hAnsiTheme="majorHAnsi"/>
          <w:b/>
          <w:noProof/>
          <w:sz w:val="21"/>
          <w:szCs w:val="21"/>
        </w:rPr>
        <w:t xml:space="preserve"> </w:t>
      </w:r>
      <w:r w:rsidR="007C1416" w:rsidRPr="0048718B">
        <w:rPr>
          <w:rFonts w:asciiTheme="majorHAnsi" w:hAnsiTheme="majorHAnsi"/>
          <w:b/>
          <w:noProof/>
          <w:sz w:val="21"/>
          <w:szCs w:val="21"/>
        </w:rPr>
        <w:t xml:space="preserve">Should you have any questions, please do not hesitate to contact Matt Hilgart at </w:t>
      </w:r>
      <w:hyperlink r:id="rId10" w:history="1">
        <w:r w:rsidR="007C1416" w:rsidRPr="0048718B">
          <w:rPr>
            <w:rStyle w:val="Hyperlink"/>
            <w:rFonts w:asciiTheme="majorHAnsi" w:hAnsiTheme="majorHAnsi"/>
            <w:b/>
            <w:noProof/>
            <w:sz w:val="21"/>
            <w:szCs w:val="21"/>
          </w:rPr>
          <w:t>mhilgart@mncounties.org</w:t>
        </w:r>
      </w:hyperlink>
      <w:r w:rsidR="007C1416" w:rsidRPr="0048718B">
        <w:rPr>
          <w:rFonts w:asciiTheme="majorHAnsi" w:hAnsiTheme="majorHAnsi"/>
          <w:b/>
          <w:noProof/>
          <w:sz w:val="21"/>
          <w:szCs w:val="21"/>
        </w:rPr>
        <w:t xml:space="preserve"> / 651-789-4343. </w:t>
      </w:r>
    </w:p>
    <w:p w:rsidR="00866EB9" w:rsidRPr="0048718B" w:rsidRDefault="00866EB9" w:rsidP="00F42D69">
      <w:pPr>
        <w:spacing w:after="0"/>
        <w:ind w:left="720" w:right="720"/>
        <w:rPr>
          <w:rFonts w:asciiTheme="majorHAnsi" w:hAnsiTheme="majorHAnsi"/>
          <w:noProof/>
          <w:sz w:val="21"/>
          <w:szCs w:val="21"/>
        </w:rPr>
      </w:pPr>
    </w:p>
    <w:p w:rsidR="00F42D69" w:rsidRPr="0048718B" w:rsidRDefault="00866EB9" w:rsidP="0048718B">
      <w:pPr>
        <w:spacing w:after="0"/>
        <w:ind w:left="720" w:right="720"/>
        <w:rPr>
          <w:rFonts w:asciiTheme="majorHAnsi" w:hAnsiTheme="majorHAnsi"/>
          <w:noProof/>
          <w:sz w:val="21"/>
          <w:szCs w:val="21"/>
        </w:rPr>
      </w:pPr>
      <w:r w:rsidRPr="0048718B">
        <w:rPr>
          <w:rFonts w:asciiTheme="majorHAnsi" w:hAnsiTheme="majorHAnsi"/>
          <w:noProof/>
          <w:sz w:val="21"/>
          <w:szCs w:val="21"/>
        </w:rPr>
        <w:t>Sincerely,</w:t>
      </w:r>
    </w:p>
    <w:p w:rsidR="00F42D69" w:rsidRPr="0048718B" w:rsidRDefault="00866EB9" w:rsidP="003B4E61">
      <w:pPr>
        <w:spacing w:after="0"/>
        <w:ind w:right="360"/>
        <w:rPr>
          <w:rFonts w:asciiTheme="majorHAnsi" w:hAnsiTheme="majorHAnsi"/>
          <w:noProof/>
          <w:sz w:val="21"/>
          <w:szCs w:val="21"/>
        </w:rPr>
      </w:pPr>
      <w:r w:rsidRPr="0048718B">
        <w:rPr>
          <w:rFonts w:asciiTheme="majorHAnsi" w:hAnsiTheme="majorHAnsi"/>
          <w:noProof/>
          <w:sz w:val="21"/>
          <w:szCs w:val="21"/>
        </w:rPr>
        <w:tab/>
      </w:r>
      <w:r w:rsidRPr="0048718B">
        <w:rPr>
          <w:rFonts w:asciiTheme="majorHAnsi" w:hAnsiTheme="majorHAnsi"/>
          <w:noProof/>
          <w:sz w:val="21"/>
          <w:szCs w:val="21"/>
        </w:rPr>
        <w:drawing>
          <wp:inline distT="0" distB="0" distL="0" distR="0">
            <wp:extent cx="2207838" cy="676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ott_schult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22208" cy="680677"/>
                    </a:xfrm>
                    <a:prstGeom prst="rect">
                      <a:avLst/>
                    </a:prstGeom>
                  </pic:spPr>
                </pic:pic>
              </a:graphicData>
            </a:graphic>
          </wp:inline>
        </w:drawing>
      </w:r>
      <w:r w:rsidRPr="0048718B">
        <w:rPr>
          <w:rFonts w:asciiTheme="majorHAnsi" w:hAnsiTheme="majorHAnsi"/>
          <w:noProof/>
          <w:sz w:val="21"/>
          <w:szCs w:val="21"/>
        </w:rPr>
        <w:tab/>
      </w:r>
      <w:r w:rsidRPr="0048718B">
        <w:rPr>
          <w:rFonts w:asciiTheme="majorHAnsi" w:hAnsiTheme="majorHAnsi"/>
          <w:noProof/>
          <w:sz w:val="21"/>
          <w:szCs w:val="21"/>
        </w:rPr>
        <w:tab/>
      </w:r>
      <w:r w:rsidRPr="0048718B">
        <w:rPr>
          <w:rFonts w:asciiTheme="majorHAnsi" w:hAnsiTheme="majorHAnsi"/>
          <w:noProof/>
          <w:sz w:val="21"/>
          <w:szCs w:val="21"/>
        </w:rPr>
        <w:tab/>
      </w:r>
      <w:r w:rsidRPr="0048718B">
        <w:rPr>
          <w:rFonts w:asciiTheme="majorHAnsi" w:hAnsiTheme="majorHAnsi"/>
          <w:noProof/>
          <w:sz w:val="21"/>
          <w:szCs w:val="21"/>
        </w:rPr>
        <w:drawing>
          <wp:inline distT="0" distB="0" distL="0" distR="0">
            <wp:extent cx="2091397" cy="60960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tt_Hilgart.tif"/>
                    <pic:cNvPicPr/>
                  </pic:nvPicPr>
                  <pic:blipFill>
                    <a:blip r:embed="rId12">
                      <a:extLst>
                        <a:ext uri="{28A0092B-C50C-407E-A947-70E740481C1C}">
                          <a14:useLocalDpi xmlns:a14="http://schemas.microsoft.com/office/drawing/2010/main" val="0"/>
                        </a:ext>
                      </a:extLst>
                    </a:blip>
                    <a:stretch>
                      <a:fillRect/>
                    </a:stretch>
                  </pic:blipFill>
                  <pic:spPr>
                    <a:xfrm>
                      <a:off x="0" y="0"/>
                      <a:ext cx="2101355" cy="612502"/>
                    </a:xfrm>
                    <a:prstGeom prst="rect">
                      <a:avLst/>
                    </a:prstGeom>
                  </pic:spPr>
                </pic:pic>
              </a:graphicData>
            </a:graphic>
          </wp:inline>
        </w:drawing>
      </w:r>
    </w:p>
    <w:p w:rsidR="00F42D69" w:rsidRPr="0048718B" w:rsidRDefault="00F42D69" w:rsidP="00B24812">
      <w:pPr>
        <w:spacing w:after="0"/>
        <w:ind w:left="360" w:right="360"/>
        <w:rPr>
          <w:rFonts w:asciiTheme="majorHAnsi" w:hAnsiTheme="majorHAnsi"/>
          <w:noProof/>
          <w:sz w:val="21"/>
          <w:szCs w:val="21"/>
        </w:rPr>
      </w:pPr>
    </w:p>
    <w:p w:rsidR="00F42D69" w:rsidRPr="0048718B" w:rsidRDefault="001F242F" w:rsidP="00F42D69">
      <w:pPr>
        <w:spacing w:after="0"/>
        <w:ind w:left="720" w:right="720"/>
        <w:rPr>
          <w:rFonts w:asciiTheme="majorHAnsi" w:hAnsiTheme="majorHAnsi"/>
          <w:noProof/>
          <w:sz w:val="21"/>
          <w:szCs w:val="21"/>
        </w:rPr>
      </w:pPr>
      <w:r w:rsidRPr="0048718B">
        <w:rPr>
          <w:rFonts w:asciiTheme="majorHAnsi" w:hAnsiTheme="majorHAnsi"/>
          <w:noProof/>
          <w:sz w:val="21"/>
          <w:szCs w:val="21"/>
        </w:rPr>
        <w:t>Scott Schulte</w:t>
      </w:r>
      <w:r w:rsidR="00F42D69" w:rsidRPr="0048718B">
        <w:rPr>
          <w:rFonts w:asciiTheme="majorHAnsi" w:hAnsiTheme="majorHAnsi"/>
          <w:noProof/>
          <w:sz w:val="21"/>
          <w:szCs w:val="21"/>
        </w:rPr>
        <w:t xml:space="preserve">, </w:t>
      </w:r>
      <w:r w:rsidRPr="0048718B">
        <w:rPr>
          <w:rFonts w:asciiTheme="majorHAnsi" w:hAnsiTheme="majorHAnsi"/>
          <w:noProof/>
          <w:sz w:val="21"/>
          <w:szCs w:val="21"/>
        </w:rPr>
        <w:t>Anoka</w:t>
      </w:r>
      <w:r w:rsidR="00866EB9" w:rsidRPr="0048718B">
        <w:rPr>
          <w:rFonts w:asciiTheme="majorHAnsi" w:hAnsiTheme="majorHAnsi"/>
          <w:noProof/>
          <w:sz w:val="21"/>
          <w:szCs w:val="21"/>
        </w:rPr>
        <w:t xml:space="preserve"> County Commissioner</w:t>
      </w:r>
      <w:r w:rsidR="00866EB9" w:rsidRPr="0048718B">
        <w:rPr>
          <w:rFonts w:asciiTheme="majorHAnsi" w:hAnsiTheme="majorHAnsi"/>
          <w:noProof/>
          <w:sz w:val="21"/>
          <w:szCs w:val="21"/>
        </w:rPr>
        <w:tab/>
      </w:r>
      <w:r w:rsidR="00866EB9" w:rsidRPr="0048718B">
        <w:rPr>
          <w:rFonts w:asciiTheme="majorHAnsi" w:hAnsiTheme="majorHAnsi"/>
          <w:noProof/>
          <w:sz w:val="21"/>
          <w:szCs w:val="21"/>
        </w:rPr>
        <w:tab/>
      </w:r>
      <w:r w:rsidR="002A7936" w:rsidRPr="0048718B">
        <w:rPr>
          <w:rFonts w:asciiTheme="majorHAnsi" w:hAnsiTheme="majorHAnsi"/>
          <w:noProof/>
          <w:sz w:val="21"/>
          <w:szCs w:val="21"/>
        </w:rPr>
        <w:t>Matt Hilgart</w:t>
      </w:r>
      <w:r w:rsidR="00866EB9" w:rsidRPr="0048718B">
        <w:rPr>
          <w:rFonts w:asciiTheme="majorHAnsi" w:hAnsiTheme="majorHAnsi"/>
          <w:noProof/>
          <w:sz w:val="21"/>
          <w:szCs w:val="21"/>
        </w:rPr>
        <w:t>, Government Relations Manager</w:t>
      </w:r>
    </w:p>
    <w:p w:rsidR="00F42D69" w:rsidRPr="0048718B" w:rsidRDefault="00F42D69" w:rsidP="00F42D69">
      <w:pPr>
        <w:spacing w:after="0"/>
        <w:ind w:left="720" w:right="720"/>
        <w:rPr>
          <w:rFonts w:asciiTheme="majorHAnsi" w:hAnsiTheme="majorHAnsi"/>
          <w:noProof/>
          <w:sz w:val="21"/>
          <w:szCs w:val="21"/>
        </w:rPr>
      </w:pPr>
      <w:r w:rsidRPr="0048718B">
        <w:rPr>
          <w:rFonts w:asciiTheme="majorHAnsi" w:hAnsiTheme="majorHAnsi"/>
          <w:i/>
          <w:noProof/>
          <w:sz w:val="21"/>
          <w:szCs w:val="21"/>
        </w:rPr>
        <w:t>President, Association of Minnesota Counties</w:t>
      </w:r>
      <w:r w:rsidRPr="0048718B">
        <w:rPr>
          <w:rFonts w:asciiTheme="majorHAnsi" w:hAnsiTheme="majorHAnsi"/>
          <w:i/>
          <w:noProof/>
          <w:sz w:val="21"/>
          <w:szCs w:val="21"/>
        </w:rPr>
        <w:tab/>
      </w:r>
      <w:r w:rsidRPr="0048718B">
        <w:rPr>
          <w:rFonts w:asciiTheme="majorHAnsi" w:hAnsiTheme="majorHAnsi"/>
          <w:noProof/>
          <w:sz w:val="21"/>
          <w:szCs w:val="21"/>
        </w:rPr>
        <w:tab/>
      </w:r>
      <w:r w:rsidRPr="0048718B">
        <w:rPr>
          <w:rFonts w:asciiTheme="majorHAnsi" w:hAnsiTheme="majorHAnsi"/>
          <w:i/>
          <w:noProof/>
          <w:sz w:val="21"/>
          <w:szCs w:val="21"/>
        </w:rPr>
        <w:t>Association of Minnesota Counties</w:t>
      </w:r>
    </w:p>
    <w:p w:rsidR="00F42D69" w:rsidRPr="0048718B" w:rsidRDefault="00F42D69" w:rsidP="00F42D69">
      <w:pPr>
        <w:spacing w:after="0"/>
        <w:ind w:left="720" w:right="720"/>
        <w:rPr>
          <w:rFonts w:asciiTheme="majorHAnsi" w:hAnsiTheme="majorHAnsi"/>
          <w:noProof/>
          <w:sz w:val="21"/>
          <w:szCs w:val="21"/>
        </w:rPr>
      </w:pPr>
      <w:r w:rsidRPr="0048718B">
        <w:rPr>
          <w:rFonts w:asciiTheme="majorHAnsi" w:hAnsiTheme="majorHAnsi"/>
          <w:noProof/>
          <w:sz w:val="21"/>
          <w:szCs w:val="21"/>
        </w:rPr>
        <w:t xml:space="preserve"> </w:t>
      </w:r>
    </w:p>
    <w:p w:rsidR="001F242F" w:rsidRPr="0048718B" w:rsidRDefault="00F42D69" w:rsidP="00F42D69">
      <w:pPr>
        <w:spacing w:after="0"/>
        <w:ind w:left="720" w:right="720"/>
        <w:rPr>
          <w:rFonts w:asciiTheme="majorHAnsi" w:hAnsiTheme="majorHAnsi"/>
          <w:noProof/>
          <w:sz w:val="21"/>
          <w:szCs w:val="21"/>
        </w:rPr>
      </w:pPr>
      <w:r w:rsidRPr="0048718B">
        <w:rPr>
          <w:rFonts w:asciiTheme="majorHAnsi" w:hAnsiTheme="majorHAnsi"/>
          <w:noProof/>
          <w:sz w:val="21"/>
          <w:szCs w:val="21"/>
        </w:rPr>
        <w:t xml:space="preserve">CC: </w:t>
      </w:r>
      <w:r w:rsidRPr="0048718B">
        <w:rPr>
          <w:rFonts w:asciiTheme="majorHAnsi" w:hAnsiTheme="majorHAnsi"/>
          <w:noProof/>
          <w:sz w:val="21"/>
          <w:szCs w:val="21"/>
        </w:rPr>
        <w:tab/>
        <w:t>Commissioner Cynthia Bauerly, Department of Revenue</w:t>
      </w:r>
    </w:p>
    <w:p w:rsidR="001F242F" w:rsidRPr="0048718B" w:rsidRDefault="001F242F" w:rsidP="00F42D69">
      <w:pPr>
        <w:spacing w:after="0"/>
        <w:ind w:left="720" w:right="720"/>
        <w:rPr>
          <w:rFonts w:asciiTheme="majorHAnsi" w:hAnsiTheme="majorHAnsi"/>
          <w:noProof/>
          <w:sz w:val="21"/>
          <w:szCs w:val="21"/>
        </w:rPr>
      </w:pPr>
      <w:r w:rsidRPr="0048718B">
        <w:rPr>
          <w:rFonts w:asciiTheme="majorHAnsi" w:hAnsiTheme="majorHAnsi"/>
          <w:noProof/>
          <w:sz w:val="21"/>
          <w:szCs w:val="21"/>
        </w:rPr>
        <w:tab/>
        <w:t xml:space="preserve">House Speaker Melissa Hortman </w:t>
      </w:r>
    </w:p>
    <w:p w:rsidR="00866EB9" w:rsidRDefault="001F242F" w:rsidP="00866EB9">
      <w:pPr>
        <w:spacing w:after="0"/>
        <w:ind w:left="720" w:right="720"/>
        <w:rPr>
          <w:rFonts w:asciiTheme="majorHAnsi" w:hAnsiTheme="majorHAnsi"/>
          <w:noProof/>
          <w:szCs w:val="20"/>
        </w:rPr>
      </w:pPr>
      <w:r w:rsidRPr="0048718B">
        <w:rPr>
          <w:rFonts w:asciiTheme="majorHAnsi" w:hAnsiTheme="majorHAnsi"/>
          <w:noProof/>
          <w:sz w:val="21"/>
          <w:szCs w:val="21"/>
        </w:rPr>
        <w:tab/>
        <w:t xml:space="preserve">Senate Majority Leader Paul Gazelka </w:t>
      </w:r>
      <w:r w:rsidR="00F42D69" w:rsidRPr="0048718B">
        <w:rPr>
          <w:rFonts w:asciiTheme="majorHAnsi" w:hAnsiTheme="majorHAnsi"/>
          <w:noProof/>
          <w:sz w:val="21"/>
          <w:szCs w:val="21"/>
        </w:rPr>
        <w:t xml:space="preserve"> </w:t>
      </w:r>
      <w:r w:rsidR="00866EB9">
        <w:rPr>
          <w:rFonts w:asciiTheme="majorHAnsi" w:hAnsiTheme="majorHAnsi"/>
          <w:noProof/>
          <w:szCs w:val="20"/>
        </w:rPr>
        <w:br w:type="page"/>
      </w:r>
    </w:p>
    <w:tbl>
      <w:tblPr>
        <w:tblStyle w:val="TableGrid"/>
        <w:tblpPr w:leftFromText="180" w:rightFromText="180" w:horzAnchor="margin" w:tblpY="-300"/>
        <w:tblW w:w="10705" w:type="dxa"/>
        <w:tblLook w:val="04A0" w:firstRow="1" w:lastRow="0" w:firstColumn="1" w:lastColumn="0" w:noHBand="0" w:noVBand="1"/>
      </w:tblPr>
      <w:tblGrid>
        <w:gridCol w:w="6565"/>
        <w:gridCol w:w="4140"/>
      </w:tblGrid>
      <w:tr w:rsidR="00E03E68" w:rsidRPr="001344F3" w:rsidTr="007E6159">
        <w:trPr>
          <w:trHeight w:val="70"/>
        </w:trPr>
        <w:tc>
          <w:tcPr>
            <w:tcW w:w="6565" w:type="dxa"/>
          </w:tcPr>
          <w:p w:rsidR="00E03E68" w:rsidRPr="001344F3" w:rsidRDefault="003B6EF4" w:rsidP="007E6159">
            <w:pPr>
              <w:jc w:val="center"/>
              <w:rPr>
                <w:rFonts w:asciiTheme="majorHAnsi" w:hAnsiTheme="majorHAnsi"/>
                <w:b/>
                <w:szCs w:val="21"/>
              </w:rPr>
            </w:pPr>
            <w:r w:rsidRPr="001344F3">
              <w:rPr>
                <w:rFonts w:asciiTheme="majorHAnsi" w:hAnsiTheme="majorHAnsi"/>
                <w:b/>
                <w:szCs w:val="21"/>
              </w:rPr>
              <w:lastRenderedPageBreak/>
              <w:t>SUPPORT</w:t>
            </w:r>
          </w:p>
        </w:tc>
        <w:tc>
          <w:tcPr>
            <w:tcW w:w="4140" w:type="dxa"/>
          </w:tcPr>
          <w:p w:rsidR="00926090" w:rsidRPr="001344F3" w:rsidRDefault="003B6EF4" w:rsidP="007E6159">
            <w:pPr>
              <w:jc w:val="center"/>
              <w:rPr>
                <w:rFonts w:asciiTheme="majorHAnsi" w:hAnsiTheme="majorHAnsi"/>
                <w:b/>
                <w:szCs w:val="21"/>
              </w:rPr>
            </w:pPr>
            <w:r w:rsidRPr="001344F3">
              <w:rPr>
                <w:rFonts w:asciiTheme="majorHAnsi" w:hAnsiTheme="majorHAnsi"/>
                <w:b/>
                <w:szCs w:val="21"/>
              </w:rPr>
              <w:t>CONCERNS</w:t>
            </w:r>
          </w:p>
        </w:tc>
      </w:tr>
      <w:tr w:rsidR="00C87D8A" w:rsidRPr="001344F3" w:rsidTr="007E6159">
        <w:trPr>
          <w:cantSplit/>
          <w:trHeight w:val="1134"/>
        </w:trPr>
        <w:tc>
          <w:tcPr>
            <w:tcW w:w="6565" w:type="dxa"/>
          </w:tcPr>
          <w:p w:rsidR="00A71EFB" w:rsidRPr="001344F3" w:rsidRDefault="005649CE" w:rsidP="007E6159">
            <w:pPr>
              <w:spacing w:before="120" w:after="120"/>
              <w:rPr>
                <w:rFonts w:asciiTheme="majorHAnsi" w:hAnsiTheme="majorHAnsi"/>
                <w:b/>
                <w:color w:val="00B050"/>
                <w:szCs w:val="21"/>
              </w:rPr>
            </w:pPr>
            <w:r w:rsidRPr="001344F3">
              <w:rPr>
                <w:rFonts w:asciiTheme="majorHAnsi" w:hAnsiTheme="majorHAnsi"/>
                <w:b/>
                <w:color w:val="00B050"/>
                <w:szCs w:val="21"/>
              </w:rPr>
              <w:t xml:space="preserve">County Program Aid Increase </w:t>
            </w:r>
            <w:r w:rsidR="00C87D8A" w:rsidRPr="001344F3">
              <w:rPr>
                <w:rFonts w:asciiTheme="majorHAnsi" w:hAnsiTheme="majorHAnsi"/>
                <w:b/>
                <w:color w:val="00B050"/>
                <w:szCs w:val="21"/>
              </w:rPr>
              <w:t xml:space="preserve">(HOUSE, Article </w:t>
            </w:r>
            <w:r w:rsidR="00DF686C" w:rsidRPr="001344F3">
              <w:rPr>
                <w:rFonts w:asciiTheme="majorHAnsi" w:hAnsiTheme="majorHAnsi"/>
                <w:b/>
                <w:color w:val="00B050"/>
                <w:szCs w:val="21"/>
              </w:rPr>
              <w:t>6</w:t>
            </w:r>
            <w:r w:rsidR="00C87D8A" w:rsidRPr="001344F3">
              <w:rPr>
                <w:rFonts w:asciiTheme="majorHAnsi" w:hAnsiTheme="majorHAnsi"/>
                <w:b/>
                <w:color w:val="00B050"/>
                <w:szCs w:val="21"/>
              </w:rPr>
              <w:t xml:space="preserve">, Sec. </w:t>
            </w:r>
            <w:r w:rsidR="00DF686C" w:rsidRPr="001344F3">
              <w:rPr>
                <w:rFonts w:asciiTheme="majorHAnsi" w:hAnsiTheme="majorHAnsi"/>
                <w:b/>
                <w:color w:val="00B050"/>
                <w:szCs w:val="21"/>
              </w:rPr>
              <w:t>15</w:t>
            </w:r>
            <w:r w:rsidR="00C87D8A" w:rsidRPr="001344F3">
              <w:rPr>
                <w:rFonts w:asciiTheme="majorHAnsi" w:hAnsiTheme="majorHAnsi"/>
                <w:b/>
                <w:color w:val="00B050"/>
                <w:szCs w:val="21"/>
              </w:rPr>
              <w:t xml:space="preserve">) </w:t>
            </w:r>
            <w:r w:rsidR="00413B04" w:rsidRPr="001344F3">
              <w:rPr>
                <w:rFonts w:asciiTheme="majorHAnsi" w:hAnsiTheme="majorHAnsi"/>
                <w:b/>
                <w:color w:val="000000" w:themeColor="text1"/>
                <w:szCs w:val="21"/>
              </w:rPr>
              <w:t xml:space="preserve">CPA </w:t>
            </w:r>
            <w:r w:rsidR="00A71EFB" w:rsidRPr="001344F3">
              <w:rPr>
                <w:rFonts w:asciiTheme="majorHAnsi" w:hAnsiTheme="majorHAnsi"/>
                <w:b/>
                <w:color w:val="000000" w:themeColor="text1"/>
                <w:szCs w:val="21"/>
              </w:rPr>
              <w:t xml:space="preserve">is a critical resource to help alleviate the cost of state mandates and keep property taxes reasonable. </w:t>
            </w:r>
            <w:r w:rsidR="00D57306" w:rsidRPr="001344F3">
              <w:rPr>
                <w:rFonts w:asciiTheme="majorHAnsi" w:hAnsiTheme="majorHAnsi"/>
                <w:color w:val="000000" w:themeColor="text1"/>
                <w:szCs w:val="21"/>
              </w:rPr>
              <w:t>Just two years ago,</w:t>
            </w:r>
            <w:r w:rsidR="00A71EFB" w:rsidRPr="001344F3">
              <w:rPr>
                <w:rFonts w:asciiTheme="majorHAnsi" w:hAnsiTheme="majorHAnsi"/>
                <w:color w:val="000000" w:themeColor="text1"/>
                <w:szCs w:val="21"/>
              </w:rPr>
              <w:t xml:space="preserve"> every single one of Minnesota’s 87 counties passed a board resolution indicating the importance of county program aid as a tool for property tax and mandate relief.</w:t>
            </w:r>
            <w:r w:rsidR="00A71EFB" w:rsidRPr="001344F3">
              <w:rPr>
                <w:rFonts w:asciiTheme="majorHAnsi" w:hAnsiTheme="majorHAnsi"/>
                <w:b/>
                <w:color w:val="000000" w:themeColor="text1"/>
                <w:szCs w:val="21"/>
              </w:rPr>
              <w:t xml:space="preserve">   </w:t>
            </w:r>
            <w:r w:rsidR="00D57306" w:rsidRPr="001344F3">
              <w:rPr>
                <w:rFonts w:asciiTheme="majorHAnsi" w:hAnsiTheme="majorHAnsi"/>
                <w:b/>
                <w:szCs w:val="21"/>
              </w:rPr>
              <w:t xml:space="preserve">In 2000, CPA accounted for </w:t>
            </w:r>
            <w:r w:rsidR="00560053" w:rsidRPr="001344F3">
              <w:rPr>
                <w:rFonts w:asciiTheme="majorHAnsi" w:hAnsiTheme="majorHAnsi"/>
                <w:b/>
                <w:szCs w:val="21"/>
              </w:rPr>
              <w:t xml:space="preserve">(on average) </w:t>
            </w:r>
            <w:r w:rsidR="00D57306" w:rsidRPr="001344F3">
              <w:rPr>
                <w:rFonts w:asciiTheme="majorHAnsi" w:hAnsiTheme="majorHAnsi"/>
                <w:b/>
                <w:szCs w:val="21"/>
              </w:rPr>
              <w:t xml:space="preserve"> 25% of a county’s levy; today, that number is less than 10%.</w:t>
            </w:r>
            <w:r w:rsidR="00D57306" w:rsidRPr="001344F3">
              <w:rPr>
                <w:rFonts w:asciiTheme="majorHAnsi" w:hAnsiTheme="majorHAnsi"/>
                <w:szCs w:val="21"/>
              </w:rPr>
              <w:t xml:space="preserve"> During this same time, counties have been asked to take on increased burdens in child protection, probation, mental health, and more.  While counties have prided themselves “doing more with less,” communities are clearly coming to a head where sheer mandate costs </w:t>
            </w:r>
            <w:r w:rsidR="000D5BCC" w:rsidRPr="001344F3">
              <w:rPr>
                <w:rFonts w:asciiTheme="majorHAnsi" w:hAnsiTheme="majorHAnsi"/>
                <w:szCs w:val="21"/>
              </w:rPr>
              <w:t xml:space="preserve">and lack of state reimbursements </w:t>
            </w:r>
            <w:r w:rsidR="00D57306" w:rsidRPr="001344F3">
              <w:rPr>
                <w:rFonts w:asciiTheme="majorHAnsi" w:hAnsiTheme="majorHAnsi"/>
                <w:szCs w:val="21"/>
              </w:rPr>
              <w:t>are requiring levy increases.</w:t>
            </w:r>
            <w:r w:rsidR="000D5BCC" w:rsidRPr="001344F3">
              <w:rPr>
                <w:rFonts w:asciiTheme="majorHAnsi" w:hAnsiTheme="majorHAnsi"/>
                <w:szCs w:val="21"/>
              </w:rPr>
              <w:t xml:space="preserve"> </w:t>
            </w:r>
            <w:r w:rsidR="00A71EFB" w:rsidRPr="001344F3">
              <w:rPr>
                <w:rFonts w:asciiTheme="majorHAnsi" w:hAnsiTheme="majorHAnsi"/>
                <w:szCs w:val="21"/>
              </w:rPr>
              <w:t>We appreciate the House and Governor’s</w:t>
            </w:r>
            <w:r w:rsidR="000D5BCC" w:rsidRPr="001344F3">
              <w:rPr>
                <w:rFonts w:asciiTheme="majorHAnsi" w:hAnsiTheme="majorHAnsi"/>
                <w:szCs w:val="21"/>
              </w:rPr>
              <w:t xml:space="preserve"> recognition of these burdens and ask conferees to</w:t>
            </w:r>
            <w:r w:rsidR="00A71EFB" w:rsidRPr="001344F3">
              <w:rPr>
                <w:rFonts w:asciiTheme="majorHAnsi" w:hAnsiTheme="majorHAnsi"/>
                <w:szCs w:val="21"/>
              </w:rPr>
              <w:t xml:space="preserve"> support </w:t>
            </w:r>
            <w:r w:rsidR="000D5BCC" w:rsidRPr="001344F3">
              <w:rPr>
                <w:rFonts w:asciiTheme="majorHAnsi" w:hAnsiTheme="majorHAnsi"/>
                <w:szCs w:val="21"/>
              </w:rPr>
              <w:t xml:space="preserve">investing in this </w:t>
            </w:r>
            <w:r w:rsidR="00A71EFB" w:rsidRPr="001344F3">
              <w:rPr>
                <w:rFonts w:asciiTheme="majorHAnsi" w:hAnsiTheme="majorHAnsi"/>
                <w:szCs w:val="21"/>
              </w:rPr>
              <w:t xml:space="preserve">vital property tax relief mechanism </w:t>
            </w:r>
            <w:r w:rsidR="008A5AE9" w:rsidRPr="001344F3">
              <w:rPr>
                <w:rFonts w:asciiTheme="majorHAnsi" w:hAnsiTheme="majorHAnsi"/>
                <w:szCs w:val="21"/>
              </w:rPr>
              <w:t>during final</w:t>
            </w:r>
            <w:r w:rsidR="00A71EFB" w:rsidRPr="001344F3">
              <w:rPr>
                <w:rFonts w:asciiTheme="majorHAnsi" w:hAnsiTheme="majorHAnsi"/>
                <w:szCs w:val="21"/>
              </w:rPr>
              <w:t xml:space="preserve"> negotiations. </w:t>
            </w:r>
          </w:p>
        </w:tc>
        <w:tc>
          <w:tcPr>
            <w:tcW w:w="4140" w:type="dxa"/>
          </w:tcPr>
          <w:p w:rsidR="00413B04" w:rsidRPr="001344F3" w:rsidRDefault="00413B04" w:rsidP="007E6159">
            <w:pPr>
              <w:spacing w:before="120" w:after="120"/>
              <w:rPr>
                <w:rFonts w:asciiTheme="majorHAnsi" w:hAnsiTheme="majorHAnsi"/>
                <w:szCs w:val="21"/>
              </w:rPr>
            </w:pPr>
            <w:bookmarkStart w:id="1" w:name="_Hlk8210116"/>
            <w:r w:rsidRPr="001344F3">
              <w:rPr>
                <w:rFonts w:asciiTheme="majorHAnsi" w:hAnsiTheme="majorHAnsi"/>
                <w:b/>
                <w:color w:val="00B050"/>
                <w:szCs w:val="21"/>
              </w:rPr>
              <w:t>Solid Waste Management Tax (SWMT) increases (House, Art. 4, Secs. 12-17)</w:t>
            </w:r>
            <w:r w:rsidRPr="001344F3">
              <w:rPr>
                <w:rFonts w:asciiTheme="majorHAnsi" w:hAnsiTheme="majorHAnsi"/>
                <w:color w:val="00B050"/>
                <w:szCs w:val="21"/>
              </w:rPr>
              <w:t xml:space="preserve"> </w:t>
            </w:r>
            <w:r w:rsidR="00560053" w:rsidRPr="001344F3">
              <w:rPr>
                <w:sz w:val="24"/>
              </w:rPr>
              <w:t xml:space="preserve"> </w:t>
            </w:r>
            <w:r w:rsidR="00560053" w:rsidRPr="001344F3">
              <w:rPr>
                <w:rFonts w:asciiTheme="majorHAnsi" w:hAnsiTheme="majorHAnsi"/>
                <w:szCs w:val="21"/>
              </w:rPr>
              <w:t xml:space="preserve">AMC has concerns regarding proposals to increase SWMT tax rates. Counties believe SWMT revenue should be use for solid waste reduction and recycling purposes.  This proposal would further dilute the purpose of these tax proceeds while also creating new tax burdens for residents, businesses, and governments.  </w:t>
            </w:r>
          </w:p>
          <w:bookmarkEnd w:id="1"/>
          <w:p w:rsidR="0008426E" w:rsidRPr="001344F3" w:rsidRDefault="0008426E" w:rsidP="007E6159">
            <w:pPr>
              <w:rPr>
                <w:rFonts w:asciiTheme="majorHAnsi" w:hAnsiTheme="majorHAnsi"/>
                <w:b/>
                <w:szCs w:val="21"/>
              </w:rPr>
            </w:pPr>
          </w:p>
        </w:tc>
      </w:tr>
      <w:tr w:rsidR="00A65BBF" w:rsidRPr="001344F3" w:rsidTr="007E6159">
        <w:tc>
          <w:tcPr>
            <w:tcW w:w="6565" w:type="dxa"/>
          </w:tcPr>
          <w:p w:rsidR="00A65BBF" w:rsidRPr="001344F3" w:rsidRDefault="003A503C" w:rsidP="007E6159">
            <w:pPr>
              <w:spacing w:before="120" w:after="120"/>
              <w:rPr>
                <w:rFonts w:asciiTheme="majorHAnsi" w:hAnsiTheme="majorHAnsi"/>
                <w:szCs w:val="21"/>
              </w:rPr>
            </w:pPr>
            <w:r w:rsidRPr="001344F3">
              <w:rPr>
                <w:rFonts w:asciiTheme="majorHAnsi" w:hAnsiTheme="majorHAnsi"/>
                <w:b/>
                <w:color w:val="0070C0"/>
                <w:szCs w:val="21"/>
              </w:rPr>
              <w:t xml:space="preserve">Indian Child Welfare Act/ICWA Funding (SENATE, Article 5, Sec. </w:t>
            </w:r>
            <w:r w:rsidR="00DF686C" w:rsidRPr="001344F3">
              <w:rPr>
                <w:rFonts w:asciiTheme="majorHAnsi" w:hAnsiTheme="majorHAnsi"/>
                <w:b/>
                <w:color w:val="0070C0"/>
                <w:szCs w:val="21"/>
              </w:rPr>
              <w:t>5</w:t>
            </w:r>
            <w:r w:rsidRPr="001344F3">
              <w:rPr>
                <w:rFonts w:asciiTheme="majorHAnsi" w:hAnsiTheme="majorHAnsi"/>
                <w:b/>
                <w:color w:val="0070C0"/>
                <w:szCs w:val="21"/>
              </w:rPr>
              <w:t xml:space="preserve">) </w:t>
            </w:r>
            <w:r w:rsidR="00D57306" w:rsidRPr="001344F3">
              <w:rPr>
                <w:rFonts w:asciiTheme="majorHAnsi" w:hAnsiTheme="majorHAnsi"/>
                <w:szCs w:val="21"/>
              </w:rPr>
              <w:t>ICWA</w:t>
            </w:r>
            <w:r w:rsidRPr="001344F3">
              <w:rPr>
                <w:rFonts w:asciiTheme="majorHAnsi" w:hAnsiTheme="majorHAnsi"/>
                <w:szCs w:val="21"/>
              </w:rPr>
              <w:t xml:space="preserve"> funding is </w:t>
            </w:r>
            <w:r w:rsidR="00D57306" w:rsidRPr="001344F3">
              <w:rPr>
                <w:rFonts w:asciiTheme="majorHAnsi" w:hAnsiTheme="majorHAnsi"/>
                <w:szCs w:val="21"/>
              </w:rPr>
              <w:t xml:space="preserve">a </w:t>
            </w:r>
            <w:r w:rsidRPr="001344F3">
              <w:rPr>
                <w:rFonts w:asciiTheme="majorHAnsi" w:hAnsiTheme="majorHAnsi"/>
                <w:szCs w:val="21"/>
              </w:rPr>
              <w:t>critical</w:t>
            </w:r>
            <w:r w:rsidR="00D57306" w:rsidRPr="001344F3">
              <w:rPr>
                <w:rFonts w:asciiTheme="majorHAnsi" w:hAnsiTheme="majorHAnsi"/>
                <w:szCs w:val="21"/>
              </w:rPr>
              <w:t xml:space="preserve"> resource</w:t>
            </w:r>
            <w:r w:rsidRPr="001344F3">
              <w:rPr>
                <w:rFonts w:asciiTheme="majorHAnsi" w:hAnsiTheme="majorHAnsi"/>
                <w:szCs w:val="21"/>
              </w:rPr>
              <w:t xml:space="preserve"> to alleviate costs of counties complying with court ordered child placements.  Compared to other states, Minnesota counties shoulder a disproportionate share of child protection and placement costs</w:t>
            </w:r>
            <w:r w:rsidR="00D57306" w:rsidRPr="001344F3">
              <w:rPr>
                <w:rFonts w:asciiTheme="majorHAnsi" w:hAnsiTheme="majorHAnsi"/>
                <w:szCs w:val="21"/>
              </w:rPr>
              <w:t xml:space="preserve">. </w:t>
            </w:r>
            <w:r w:rsidRPr="001344F3">
              <w:rPr>
                <w:rFonts w:asciiTheme="majorHAnsi" w:hAnsiTheme="majorHAnsi"/>
                <w:szCs w:val="21"/>
              </w:rPr>
              <w:t xml:space="preserve">The Senate Tax committee heard from several counties about the impacts this particular unfunded mandate is having on their overall financial sustainability.  </w:t>
            </w:r>
            <w:r w:rsidR="00D57306" w:rsidRPr="001344F3">
              <w:rPr>
                <w:rFonts w:asciiTheme="majorHAnsi" w:hAnsiTheme="majorHAnsi"/>
                <w:i/>
                <w:szCs w:val="21"/>
              </w:rPr>
              <w:t>In summary, they are dire.</w:t>
            </w:r>
            <w:r w:rsidR="00D57306" w:rsidRPr="001344F3">
              <w:rPr>
                <w:rFonts w:asciiTheme="majorHAnsi" w:hAnsiTheme="majorHAnsi"/>
                <w:szCs w:val="21"/>
              </w:rPr>
              <w:t xml:space="preserve"> </w:t>
            </w:r>
            <w:r w:rsidRPr="001344F3">
              <w:rPr>
                <w:rFonts w:asciiTheme="majorHAnsi" w:hAnsiTheme="majorHAnsi"/>
                <w:szCs w:val="21"/>
              </w:rPr>
              <w:t xml:space="preserve">AMC askes members to support the Senate language and increase the appropriation </w:t>
            </w:r>
            <w:r w:rsidR="00413B04" w:rsidRPr="001344F3">
              <w:rPr>
                <w:rFonts w:asciiTheme="majorHAnsi" w:hAnsiTheme="majorHAnsi"/>
                <w:szCs w:val="21"/>
              </w:rPr>
              <w:t>accordingly</w:t>
            </w:r>
            <w:r w:rsidR="00560053" w:rsidRPr="001344F3">
              <w:rPr>
                <w:rFonts w:asciiTheme="majorHAnsi" w:hAnsiTheme="majorHAnsi"/>
                <w:szCs w:val="21"/>
              </w:rPr>
              <w:t xml:space="preserve"> to</w:t>
            </w:r>
            <w:r w:rsidR="00413B04" w:rsidRPr="001344F3">
              <w:rPr>
                <w:rFonts w:asciiTheme="majorHAnsi" w:hAnsiTheme="majorHAnsi"/>
                <w:szCs w:val="21"/>
              </w:rPr>
              <w:t xml:space="preserve"> recognize the mandate’s true cost.  </w:t>
            </w:r>
          </w:p>
        </w:tc>
        <w:tc>
          <w:tcPr>
            <w:tcW w:w="4140" w:type="dxa"/>
          </w:tcPr>
          <w:p w:rsidR="00A65BBF" w:rsidRPr="001344F3" w:rsidRDefault="00413B04" w:rsidP="007E6159">
            <w:pPr>
              <w:spacing w:before="120" w:after="120"/>
              <w:rPr>
                <w:rFonts w:asciiTheme="majorHAnsi" w:hAnsiTheme="majorHAnsi"/>
                <w:szCs w:val="21"/>
              </w:rPr>
            </w:pPr>
            <w:r w:rsidRPr="001344F3">
              <w:rPr>
                <w:rFonts w:asciiTheme="majorHAnsi" w:hAnsiTheme="majorHAnsi"/>
                <w:b/>
                <w:color w:val="00B050"/>
                <w:szCs w:val="21"/>
              </w:rPr>
              <w:t>Property tax shifts (HOUSE, Art. 5, Sec. 10)</w:t>
            </w:r>
            <w:r w:rsidRPr="001344F3">
              <w:rPr>
                <w:rFonts w:asciiTheme="majorHAnsi" w:hAnsiTheme="majorHAnsi"/>
                <w:color w:val="00B050"/>
                <w:szCs w:val="21"/>
              </w:rPr>
              <w:t xml:space="preserve"> </w:t>
            </w:r>
            <w:r w:rsidRPr="001344F3">
              <w:rPr>
                <w:rFonts w:asciiTheme="majorHAnsi" w:hAnsiTheme="majorHAnsi"/>
                <w:szCs w:val="21"/>
              </w:rPr>
              <w:t>As legislators are keenly aware, Minnesota’s property tax classification system</w:t>
            </w:r>
            <w:r w:rsidR="00F82865" w:rsidRPr="001344F3">
              <w:rPr>
                <w:rFonts w:asciiTheme="majorHAnsi" w:hAnsiTheme="majorHAnsi"/>
                <w:szCs w:val="21"/>
              </w:rPr>
              <w:t xml:space="preserve"> </w:t>
            </w:r>
            <w:r w:rsidRPr="001344F3">
              <w:rPr>
                <w:rFonts w:asciiTheme="majorHAnsi" w:hAnsiTheme="majorHAnsi"/>
                <w:szCs w:val="21"/>
              </w:rPr>
              <w:t xml:space="preserve">is second to none in terms of complexity.  </w:t>
            </w:r>
            <w:r w:rsidR="00F82865" w:rsidRPr="001344F3">
              <w:rPr>
                <w:rFonts w:asciiTheme="majorHAnsi" w:hAnsiTheme="majorHAnsi"/>
                <w:szCs w:val="21"/>
              </w:rPr>
              <w:t xml:space="preserve">AMC opposes the creation of a </w:t>
            </w:r>
            <w:r w:rsidRPr="001344F3">
              <w:rPr>
                <w:rFonts w:asciiTheme="majorHAnsi" w:hAnsiTheme="majorHAnsi"/>
                <w:szCs w:val="21"/>
              </w:rPr>
              <w:t xml:space="preserve">new exemption for “charitable farming.” </w:t>
            </w:r>
            <w:r w:rsidR="00F82865" w:rsidRPr="001344F3">
              <w:rPr>
                <w:rFonts w:asciiTheme="majorHAnsi" w:hAnsiTheme="majorHAnsi"/>
                <w:szCs w:val="21"/>
              </w:rPr>
              <w:t xml:space="preserve"> Furthermore,</w:t>
            </w:r>
            <w:r w:rsidRPr="001344F3">
              <w:rPr>
                <w:rFonts w:asciiTheme="majorHAnsi" w:hAnsiTheme="majorHAnsi"/>
                <w:szCs w:val="21"/>
              </w:rPr>
              <w:t xml:space="preserve"> AMC and MAAO hope to work with legislators to bring efficiency and simplification to</w:t>
            </w:r>
            <w:r w:rsidR="00F82865" w:rsidRPr="001344F3">
              <w:rPr>
                <w:rFonts w:asciiTheme="majorHAnsi" w:hAnsiTheme="majorHAnsi"/>
                <w:szCs w:val="21"/>
              </w:rPr>
              <w:t xml:space="preserve"> our complex system.  </w:t>
            </w:r>
          </w:p>
        </w:tc>
      </w:tr>
      <w:tr w:rsidR="00A65BBF" w:rsidRPr="001344F3" w:rsidTr="007E6159">
        <w:tc>
          <w:tcPr>
            <w:tcW w:w="6565" w:type="dxa"/>
          </w:tcPr>
          <w:p w:rsidR="00A65BBF" w:rsidRPr="001344F3" w:rsidRDefault="005649CE" w:rsidP="007E6159">
            <w:pPr>
              <w:spacing w:before="120" w:after="120"/>
              <w:rPr>
                <w:rFonts w:asciiTheme="majorHAnsi" w:hAnsiTheme="majorHAnsi"/>
                <w:szCs w:val="21"/>
              </w:rPr>
            </w:pPr>
            <w:r w:rsidRPr="001344F3">
              <w:rPr>
                <w:rFonts w:asciiTheme="majorHAnsi" w:hAnsiTheme="majorHAnsi"/>
                <w:b/>
                <w:color w:val="00B050"/>
                <w:szCs w:val="21"/>
              </w:rPr>
              <w:t xml:space="preserve">PERA Pension Aid sunset removal </w:t>
            </w:r>
            <w:r w:rsidR="003A503C" w:rsidRPr="001344F3">
              <w:rPr>
                <w:rFonts w:asciiTheme="majorHAnsi" w:hAnsiTheme="majorHAnsi"/>
                <w:b/>
                <w:color w:val="00B050"/>
                <w:szCs w:val="21"/>
              </w:rPr>
              <w:t>(HOUSE</w:t>
            </w:r>
            <w:r w:rsidR="00DF686C" w:rsidRPr="001344F3">
              <w:rPr>
                <w:rFonts w:asciiTheme="majorHAnsi" w:hAnsiTheme="majorHAnsi"/>
                <w:b/>
                <w:color w:val="00B050"/>
                <w:szCs w:val="21"/>
              </w:rPr>
              <w:t>, Art. 6, Sec. 1)</w:t>
            </w:r>
            <w:r w:rsidR="003A503C" w:rsidRPr="001344F3">
              <w:rPr>
                <w:rFonts w:asciiTheme="majorHAnsi" w:hAnsiTheme="majorHAnsi"/>
                <w:b/>
                <w:color w:val="00B050"/>
                <w:szCs w:val="21"/>
              </w:rPr>
              <w:t xml:space="preserve"> </w:t>
            </w:r>
            <w:r w:rsidR="00DA2882" w:rsidRPr="001344F3">
              <w:rPr>
                <w:rFonts w:asciiTheme="majorHAnsi" w:hAnsiTheme="majorHAnsi"/>
                <w:szCs w:val="21"/>
              </w:rPr>
              <w:t xml:space="preserve">In 1997, the state created a </w:t>
            </w:r>
            <w:r w:rsidR="00D57306" w:rsidRPr="001344F3">
              <w:rPr>
                <w:rFonts w:asciiTheme="majorHAnsi" w:hAnsiTheme="majorHAnsi"/>
                <w:szCs w:val="21"/>
              </w:rPr>
              <w:t xml:space="preserve">PERA </w:t>
            </w:r>
            <w:r w:rsidR="00DA2882" w:rsidRPr="001344F3">
              <w:rPr>
                <w:rFonts w:asciiTheme="majorHAnsi" w:hAnsiTheme="majorHAnsi"/>
                <w:szCs w:val="21"/>
              </w:rPr>
              <w:t>general</w:t>
            </w:r>
            <w:r w:rsidR="00D57306" w:rsidRPr="001344F3">
              <w:rPr>
                <w:rFonts w:asciiTheme="majorHAnsi" w:hAnsiTheme="majorHAnsi"/>
                <w:szCs w:val="21"/>
              </w:rPr>
              <w:t xml:space="preserve"> plan</w:t>
            </w:r>
            <w:r w:rsidR="00DA2882" w:rsidRPr="001344F3">
              <w:rPr>
                <w:rFonts w:asciiTheme="majorHAnsi" w:hAnsiTheme="majorHAnsi"/>
                <w:szCs w:val="21"/>
              </w:rPr>
              <w:t xml:space="preserve"> pension aid program for local governments as a result of </w:t>
            </w:r>
            <w:r w:rsidR="00F7491F" w:rsidRPr="001344F3">
              <w:rPr>
                <w:rFonts w:asciiTheme="majorHAnsi" w:hAnsiTheme="majorHAnsi"/>
                <w:szCs w:val="21"/>
              </w:rPr>
              <w:t>mandated increases in employer contributions</w:t>
            </w:r>
            <w:r w:rsidR="004A47A6" w:rsidRPr="001344F3">
              <w:rPr>
                <w:rFonts w:asciiTheme="majorHAnsi" w:hAnsiTheme="majorHAnsi"/>
                <w:szCs w:val="21"/>
              </w:rPr>
              <w:t>.</w:t>
            </w:r>
            <w:r w:rsidR="00F7491F" w:rsidRPr="001344F3">
              <w:rPr>
                <w:rFonts w:asciiTheme="majorHAnsi" w:hAnsiTheme="majorHAnsi"/>
                <w:szCs w:val="21"/>
              </w:rPr>
              <w:t xml:space="preserve">  This aid was intended to offset the levy impacts of these contributions and has since served as an important property tax relief mechanism that goes out to counties, cities, townships, SWCDs, watershed districts, municipal hospitals, utilities, libraries, and more.  AMC joins several other local government organizations in asking the legislature to honor and respect its previous commitment by extending the aid to the fund’s actual amortization date: July 2048. </w:t>
            </w:r>
          </w:p>
        </w:tc>
        <w:tc>
          <w:tcPr>
            <w:tcW w:w="4140" w:type="dxa"/>
          </w:tcPr>
          <w:p w:rsidR="00A65BBF" w:rsidRPr="001344F3" w:rsidRDefault="00A65BBF" w:rsidP="007E6159">
            <w:pPr>
              <w:rPr>
                <w:rFonts w:asciiTheme="majorHAnsi" w:hAnsiTheme="majorHAnsi"/>
                <w:b/>
                <w:color w:val="002060"/>
                <w:szCs w:val="21"/>
              </w:rPr>
            </w:pPr>
          </w:p>
          <w:p w:rsidR="00A65BBF" w:rsidRPr="001344F3" w:rsidRDefault="00A65BBF" w:rsidP="007E6159">
            <w:pPr>
              <w:rPr>
                <w:rFonts w:asciiTheme="majorHAnsi" w:hAnsiTheme="majorHAnsi"/>
                <w:szCs w:val="21"/>
              </w:rPr>
            </w:pPr>
          </w:p>
        </w:tc>
      </w:tr>
      <w:tr w:rsidR="000D5BCC" w:rsidRPr="001344F3" w:rsidTr="007E6159">
        <w:tc>
          <w:tcPr>
            <w:tcW w:w="6565" w:type="dxa"/>
          </w:tcPr>
          <w:p w:rsidR="000D5BCC" w:rsidRPr="001344F3" w:rsidRDefault="000D5BCC" w:rsidP="007E6159">
            <w:pPr>
              <w:spacing w:before="120" w:after="120"/>
              <w:rPr>
                <w:rFonts w:asciiTheme="majorHAnsi" w:hAnsiTheme="majorHAnsi"/>
                <w:szCs w:val="21"/>
              </w:rPr>
            </w:pPr>
            <w:r w:rsidRPr="001344F3">
              <w:rPr>
                <w:rFonts w:asciiTheme="majorHAnsi" w:hAnsiTheme="majorHAnsi"/>
                <w:b/>
                <w:color w:val="0070C0"/>
                <w:szCs w:val="21"/>
              </w:rPr>
              <w:t xml:space="preserve">$15K deduction for State and Local Taxes/SALT (SENATE, Art. 1, Sec. 12) </w:t>
            </w:r>
            <w:r w:rsidR="00990A2E" w:rsidRPr="001344F3">
              <w:rPr>
                <w:rFonts w:asciiTheme="majorHAnsi" w:hAnsiTheme="majorHAnsi"/>
                <w:szCs w:val="21"/>
              </w:rPr>
              <w:t xml:space="preserve">Prior to passage of the TCJA, nearly one million Minnesota households took advantage of the State and Local Tax deduction. Local governments are concerned that the $10K cap of this deduction will not only increase individual taxpayer burdens but also create a form of double taxation that will adversely impact local governments from raising future revenues to maintain core services.  We appreciate the Senate’s proposal to expand this cap—compared to the federal government—to $15K. </w:t>
            </w:r>
          </w:p>
        </w:tc>
        <w:tc>
          <w:tcPr>
            <w:tcW w:w="4140" w:type="dxa"/>
          </w:tcPr>
          <w:p w:rsidR="000D5BCC" w:rsidRPr="001344F3" w:rsidRDefault="000D5BCC" w:rsidP="007E6159">
            <w:pPr>
              <w:rPr>
                <w:rFonts w:asciiTheme="majorHAnsi" w:hAnsiTheme="majorHAnsi"/>
                <w:b/>
                <w:color w:val="006600"/>
                <w:szCs w:val="21"/>
              </w:rPr>
            </w:pPr>
          </w:p>
          <w:p w:rsidR="000D5BCC" w:rsidRPr="001344F3" w:rsidRDefault="000D5BCC" w:rsidP="007E6159">
            <w:pPr>
              <w:rPr>
                <w:rFonts w:asciiTheme="majorHAnsi" w:hAnsiTheme="majorHAnsi"/>
                <w:szCs w:val="21"/>
              </w:rPr>
            </w:pPr>
          </w:p>
        </w:tc>
      </w:tr>
    </w:tbl>
    <w:p w:rsidR="00866EB9" w:rsidRPr="001344F3" w:rsidRDefault="00866EB9">
      <w:pPr>
        <w:rPr>
          <w:sz w:val="24"/>
        </w:rPr>
      </w:pPr>
      <w:r w:rsidRPr="001344F3">
        <w:rPr>
          <w:sz w:val="24"/>
        </w:rPr>
        <w:br w:type="page"/>
      </w:r>
    </w:p>
    <w:tbl>
      <w:tblPr>
        <w:tblStyle w:val="TableGrid"/>
        <w:tblW w:w="10705" w:type="dxa"/>
        <w:jc w:val="center"/>
        <w:tblLook w:val="04A0" w:firstRow="1" w:lastRow="0" w:firstColumn="1" w:lastColumn="0" w:noHBand="0" w:noVBand="1"/>
      </w:tblPr>
      <w:tblGrid>
        <w:gridCol w:w="6565"/>
        <w:gridCol w:w="4140"/>
      </w:tblGrid>
      <w:tr w:rsidR="00866EB9" w:rsidRPr="001344F3" w:rsidTr="007E6159">
        <w:trPr>
          <w:jc w:val="center"/>
        </w:trPr>
        <w:tc>
          <w:tcPr>
            <w:tcW w:w="6565" w:type="dxa"/>
          </w:tcPr>
          <w:p w:rsidR="00866EB9" w:rsidRPr="001344F3" w:rsidRDefault="00866EB9" w:rsidP="00866EB9">
            <w:pPr>
              <w:jc w:val="center"/>
              <w:rPr>
                <w:rFonts w:asciiTheme="majorHAnsi" w:hAnsiTheme="majorHAnsi"/>
                <w:b/>
                <w:color w:val="006600"/>
                <w:szCs w:val="21"/>
              </w:rPr>
            </w:pPr>
            <w:r w:rsidRPr="001344F3">
              <w:rPr>
                <w:rFonts w:asciiTheme="majorHAnsi" w:hAnsiTheme="majorHAnsi"/>
                <w:b/>
                <w:szCs w:val="21"/>
              </w:rPr>
              <w:lastRenderedPageBreak/>
              <w:t>SUPPORT</w:t>
            </w:r>
          </w:p>
        </w:tc>
        <w:tc>
          <w:tcPr>
            <w:tcW w:w="4140" w:type="dxa"/>
          </w:tcPr>
          <w:p w:rsidR="00866EB9" w:rsidRPr="001344F3" w:rsidRDefault="00866EB9" w:rsidP="00866EB9">
            <w:pPr>
              <w:jc w:val="center"/>
              <w:rPr>
                <w:rFonts w:asciiTheme="majorHAnsi" w:hAnsiTheme="majorHAnsi"/>
                <w:b/>
                <w:szCs w:val="21"/>
              </w:rPr>
            </w:pPr>
            <w:r w:rsidRPr="001344F3">
              <w:rPr>
                <w:rFonts w:asciiTheme="majorHAnsi" w:hAnsiTheme="majorHAnsi"/>
                <w:b/>
                <w:szCs w:val="21"/>
              </w:rPr>
              <w:t>CONCERNS</w:t>
            </w:r>
          </w:p>
        </w:tc>
      </w:tr>
      <w:tr w:rsidR="00866EB9" w:rsidRPr="001344F3" w:rsidTr="007E6159">
        <w:trPr>
          <w:jc w:val="center"/>
        </w:trPr>
        <w:tc>
          <w:tcPr>
            <w:tcW w:w="6565" w:type="dxa"/>
          </w:tcPr>
          <w:p w:rsidR="00866EB9" w:rsidRPr="001344F3" w:rsidRDefault="00866EB9" w:rsidP="007E6159">
            <w:pPr>
              <w:spacing w:before="120" w:after="120"/>
              <w:rPr>
                <w:rFonts w:asciiTheme="majorHAnsi" w:hAnsiTheme="majorHAnsi"/>
                <w:b/>
                <w:szCs w:val="21"/>
              </w:rPr>
            </w:pPr>
            <w:r w:rsidRPr="001344F3">
              <w:rPr>
                <w:rFonts w:asciiTheme="majorHAnsi" w:hAnsiTheme="majorHAnsi"/>
                <w:b/>
                <w:color w:val="00B050"/>
                <w:szCs w:val="21"/>
              </w:rPr>
              <w:t>Fractional homestead changes (HOUSE, Art. 5, Sec. 20, Sec. 19/</w:t>
            </w:r>
            <w:r w:rsidRPr="001344F3">
              <w:rPr>
                <w:rFonts w:asciiTheme="majorHAnsi" w:hAnsiTheme="majorHAnsi"/>
                <w:b/>
                <w:color w:val="0070C0"/>
                <w:szCs w:val="21"/>
              </w:rPr>
              <w:t>SENATE, Art. 4, Sec. 20)</w:t>
            </w:r>
            <w:r w:rsidRPr="001344F3">
              <w:rPr>
                <w:rFonts w:asciiTheme="majorHAnsi" w:hAnsiTheme="majorHAnsi"/>
                <w:color w:val="00B050"/>
                <w:szCs w:val="21"/>
              </w:rPr>
              <w:t xml:space="preserve"> </w:t>
            </w:r>
            <w:r w:rsidRPr="001344F3">
              <w:rPr>
                <w:rFonts w:asciiTheme="majorHAnsi" w:hAnsiTheme="majorHAnsi"/>
                <w:szCs w:val="21"/>
              </w:rPr>
              <w:t xml:space="preserve">AMC supports House and Senate efforts to provide further clarity to determining fractional homestead.  While we support both bill’s underlying language in premise, we </w:t>
            </w:r>
            <w:r w:rsidR="004A47A6" w:rsidRPr="001344F3">
              <w:rPr>
                <w:rFonts w:asciiTheme="majorHAnsi" w:hAnsiTheme="majorHAnsi"/>
                <w:szCs w:val="21"/>
              </w:rPr>
              <w:t>continue to work</w:t>
            </w:r>
            <w:r w:rsidRPr="001344F3">
              <w:rPr>
                <w:rFonts w:asciiTheme="majorHAnsi" w:hAnsiTheme="majorHAnsi"/>
                <w:szCs w:val="21"/>
              </w:rPr>
              <w:t xml:space="preserve"> with stakeholders and the DOR to make certain any final language is clear, administrable, and does not contain any unintended consequences.  We ask both bodies to support the outcome of that work.</w:t>
            </w:r>
          </w:p>
        </w:tc>
        <w:tc>
          <w:tcPr>
            <w:tcW w:w="4140" w:type="dxa"/>
          </w:tcPr>
          <w:p w:rsidR="00866EB9" w:rsidRPr="001344F3" w:rsidRDefault="00866EB9" w:rsidP="007E6159">
            <w:pPr>
              <w:spacing w:before="120" w:after="120"/>
              <w:rPr>
                <w:rFonts w:asciiTheme="majorHAnsi" w:hAnsiTheme="majorHAnsi"/>
                <w:b/>
                <w:szCs w:val="21"/>
              </w:rPr>
            </w:pPr>
          </w:p>
        </w:tc>
      </w:tr>
      <w:tr w:rsidR="001344F3" w:rsidRPr="001344F3" w:rsidTr="007E6159">
        <w:trPr>
          <w:jc w:val="center"/>
        </w:trPr>
        <w:tc>
          <w:tcPr>
            <w:tcW w:w="6565" w:type="dxa"/>
          </w:tcPr>
          <w:p w:rsidR="001344F3" w:rsidRPr="001344F3" w:rsidRDefault="001344F3" w:rsidP="007E6159">
            <w:pPr>
              <w:spacing w:before="120" w:after="120"/>
              <w:rPr>
                <w:rFonts w:asciiTheme="majorHAnsi" w:hAnsiTheme="majorHAnsi"/>
                <w:b/>
                <w:color w:val="00B050"/>
                <w:szCs w:val="21"/>
              </w:rPr>
            </w:pPr>
            <w:r w:rsidRPr="001344F3">
              <w:rPr>
                <w:rFonts w:asciiTheme="majorHAnsi" w:hAnsiTheme="majorHAnsi"/>
                <w:b/>
                <w:szCs w:val="21"/>
              </w:rPr>
              <w:t>Assessor/CVSO data sharing provisions</w:t>
            </w:r>
            <w:r w:rsidRPr="001344F3">
              <w:rPr>
                <w:rFonts w:asciiTheme="majorHAnsi" w:hAnsiTheme="majorHAnsi"/>
                <w:b/>
                <w:color w:val="00B050"/>
                <w:szCs w:val="21"/>
              </w:rPr>
              <w:t xml:space="preserve"> (HOUSE, Art. 5, Secs. 3, 21/</w:t>
            </w:r>
            <w:r w:rsidRPr="001344F3">
              <w:rPr>
                <w:rFonts w:asciiTheme="majorHAnsi" w:hAnsiTheme="majorHAnsi"/>
                <w:b/>
                <w:color w:val="0070C0"/>
                <w:szCs w:val="21"/>
              </w:rPr>
              <w:t>SENATE, Art. 4, Secs. 4, 12</w:t>
            </w:r>
            <w:r w:rsidRPr="001344F3">
              <w:rPr>
                <w:rFonts w:asciiTheme="majorHAnsi" w:hAnsiTheme="majorHAnsi"/>
                <w:b/>
                <w:color w:val="00B050"/>
                <w:szCs w:val="21"/>
              </w:rPr>
              <w:t xml:space="preserve">) </w:t>
            </w:r>
            <w:r w:rsidRPr="001344F3">
              <w:rPr>
                <w:rFonts w:asciiTheme="majorHAnsi" w:hAnsiTheme="majorHAnsi"/>
                <w:color w:val="000000" w:themeColor="text1"/>
                <w:szCs w:val="21"/>
              </w:rPr>
              <w:t>AMC was proud to work with authors in both chambers to create language that will allow a quicker and more efficient application and certification process for the Disabled Veterans Market Value Exclusion.  We ask for your support of this bipartisan, commonsense provision.</w:t>
            </w:r>
          </w:p>
        </w:tc>
        <w:tc>
          <w:tcPr>
            <w:tcW w:w="4140" w:type="dxa"/>
          </w:tcPr>
          <w:p w:rsidR="001344F3" w:rsidRPr="001344F3" w:rsidRDefault="001344F3" w:rsidP="007E6159">
            <w:pPr>
              <w:spacing w:before="120" w:after="120"/>
              <w:rPr>
                <w:rFonts w:asciiTheme="majorHAnsi" w:hAnsiTheme="majorHAnsi"/>
                <w:b/>
                <w:szCs w:val="21"/>
              </w:rPr>
            </w:pPr>
          </w:p>
        </w:tc>
      </w:tr>
      <w:tr w:rsidR="00866EB9" w:rsidRPr="001344F3" w:rsidTr="007E6159">
        <w:trPr>
          <w:jc w:val="center"/>
        </w:trPr>
        <w:tc>
          <w:tcPr>
            <w:tcW w:w="6565" w:type="dxa"/>
          </w:tcPr>
          <w:p w:rsidR="00866EB9" w:rsidRPr="001344F3" w:rsidRDefault="00866EB9" w:rsidP="007E6159">
            <w:pPr>
              <w:spacing w:before="120" w:after="120"/>
              <w:rPr>
                <w:rFonts w:asciiTheme="majorHAnsi" w:hAnsiTheme="majorHAnsi"/>
                <w:szCs w:val="21"/>
              </w:rPr>
            </w:pPr>
            <w:r w:rsidRPr="001344F3">
              <w:rPr>
                <w:rFonts w:asciiTheme="majorHAnsi" w:hAnsiTheme="majorHAnsi"/>
                <w:b/>
                <w:szCs w:val="21"/>
              </w:rPr>
              <w:t xml:space="preserve">Housing affordability </w:t>
            </w:r>
            <w:r w:rsidRPr="001344F3">
              <w:rPr>
                <w:rFonts w:asciiTheme="majorHAnsi" w:hAnsiTheme="majorHAnsi"/>
                <w:b/>
                <w:color w:val="00B050"/>
                <w:szCs w:val="21"/>
              </w:rPr>
              <w:t>(HOUSE, Art. 5, Sec. 52/</w:t>
            </w:r>
            <w:r w:rsidRPr="001344F3">
              <w:rPr>
                <w:rFonts w:asciiTheme="majorHAnsi" w:hAnsiTheme="majorHAnsi"/>
                <w:b/>
                <w:color w:val="0070C0"/>
                <w:szCs w:val="21"/>
              </w:rPr>
              <w:t>SENATE, Art. 2, Sec. 30)</w:t>
            </w:r>
            <w:r w:rsidRPr="001344F3">
              <w:rPr>
                <w:rFonts w:asciiTheme="majorHAnsi" w:hAnsiTheme="majorHAnsi"/>
                <w:b/>
                <w:color w:val="00B050"/>
                <w:szCs w:val="21"/>
              </w:rPr>
              <w:t xml:space="preserve"> </w:t>
            </w:r>
            <w:r w:rsidRPr="001344F3">
              <w:rPr>
                <w:rFonts w:asciiTheme="majorHAnsi" w:hAnsiTheme="majorHAnsi"/>
                <w:szCs w:val="21"/>
              </w:rPr>
              <w:t xml:space="preserve">AMC supports the House’s proposal to study 4d </w:t>
            </w:r>
            <w:r w:rsidRPr="001344F3">
              <w:rPr>
                <w:rFonts w:asciiTheme="majorHAnsi" w:hAnsiTheme="majorHAnsi"/>
                <w:i/>
                <w:szCs w:val="21"/>
              </w:rPr>
              <w:t>before</w:t>
            </w:r>
            <w:r w:rsidRPr="001344F3">
              <w:rPr>
                <w:rFonts w:asciiTheme="majorHAnsi" w:hAnsiTheme="majorHAnsi"/>
                <w:szCs w:val="21"/>
              </w:rPr>
              <w:t xml:space="preserve"> considering dramatic decreases to the overall class rate for 4d, which may cause sizable shifts in tax base. AMC recently added a platform position supporting a tax credit contribution fund to assist in the development of new and affordable housing stock.  </w:t>
            </w:r>
          </w:p>
        </w:tc>
        <w:tc>
          <w:tcPr>
            <w:tcW w:w="4140" w:type="dxa"/>
          </w:tcPr>
          <w:p w:rsidR="00866EB9" w:rsidRPr="001344F3" w:rsidRDefault="00866EB9" w:rsidP="007E6159">
            <w:pPr>
              <w:spacing w:before="120" w:after="120"/>
              <w:rPr>
                <w:rFonts w:asciiTheme="majorHAnsi" w:hAnsiTheme="majorHAnsi"/>
                <w:b/>
                <w:szCs w:val="21"/>
              </w:rPr>
            </w:pPr>
          </w:p>
          <w:p w:rsidR="00866EB9" w:rsidRPr="001344F3" w:rsidRDefault="00866EB9" w:rsidP="007E6159">
            <w:pPr>
              <w:spacing w:before="120" w:after="120"/>
              <w:rPr>
                <w:rFonts w:asciiTheme="majorHAnsi" w:hAnsiTheme="majorHAnsi"/>
                <w:szCs w:val="21"/>
              </w:rPr>
            </w:pPr>
          </w:p>
        </w:tc>
      </w:tr>
      <w:tr w:rsidR="00866EB9" w:rsidRPr="001344F3" w:rsidTr="007E6159">
        <w:trPr>
          <w:jc w:val="center"/>
        </w:trPr>
        <w:tc>
          <w:tcPr>
            <w:tcW w:w="6565" w:type="dxa"/>
          </w:tcPr>
          <w:p w:rsidR="00866EB9" w:rsidRPr="001344F3" w:rsidRDefault="00866EB9" w:rsidP="007E6159">
            <w:pPr>
              <w:spacing w:before="120" w:after="120"/>
              <w:rPr>
                <w:rFonts w:asciiTheme="majorHAnsi" w:hAnsiTheme="majorHAnsi"/>
                <w:b/>
                <w:color w:val="0070C0"/>
                <w:szCs w:val="21"/>
              </w:rPr>
            </w:pPr>
            <w:r w:rsidRPr="001344F3">
              <w:rPr>
                <w:rFonts w:asciiTheme="majorHAnsi" w:hAnsiTheme="majorHAnsi"/>
                <w:b/>
                <w:szCs w:val="21"/>
              </w:rPr>
              <w:t>Disabled Veterans Market Value Exclusion expansion (</w:t>
            </w:r>
            <w:r w:rsidRPr="001344F3">
              <w:rPr>
                <w:rFonts w:asciiTheme="majorHAnsi" w:hAnsiTheme="majorHAnsi"/>
                <w:b/>
                <w:color w:val="00B050"/>
                <w:szCs w:val="21"/>
              </w:rPr>
              <w:t xml:space="preserve">HOUSE, Article 5, Sec. 25 </w:t>
            </w:r>
            <w:r w:rsidRPr="001344F3">
              <w:rPr>
                <w:rFonts w:asciiTheme="majorHAnsi" w:hAnsiTheme="majorHAnsi"/>
                <w:b/>
                <w:szCs w:val="21"/>
              </w:rPr>
              <w:t xml:space="preserve">and </w:t>
            </w:r>
            <w:r w:rsidRPr="001344F3">
              <w:rPr>
                <w:rFonts w:asciiTheme="majorHAnsi" w:hAnsiTheme="majorHAnsi"/>
                <w:b/>
                <w:color w:val="0070C0"/>
                <w:szCs w:val="21"/>
              </w:rPr>
              <w:t>SENATE, Article 4, Secs. 19-21)</w:t>
            </w:r>
            <w:r w:rsidR="007E6159" w:rsidRPr="001344F3">
              <w:rPr>
                <w:rFonts w:asciiTheme="majorHAnsi" w:hAnsiTheme="majorHAnsi"/>
                <w:b/>
                <w:color w:val="0070C0"/>
                <w:szCs w:val="21"/>
              </w:rPr>
              <w:t xml:space="preserve">  </w:t>
            </w:r>
            <w:r w:rsidRPr="001344F3">
              <w:rPr>
                <w:rFonts w:asciiTheme="majorHAnsi" w:hAnsiTheme="majorHAnsi"/>
                <w:szCs w:val="21"/>
              </w:rPr>
              <w:t>As members are aware the costs of the current Disabled Veterans Market Value Exclusion benefit is borne not out of the state general fund, but from local community tax bases, some of which are home to high numbers of disabled veterans.  While AMC is completely supportive of the benefits, our association has routinely updated members of the growing magnitude of the local property tax shift (</w:t>
            </w:r>
            <w:r w:rsidRPr="001344F3">
              <w:rPr>
                <w:rFonts w:asciiTheme="majorHAnsi" w:hAnsiTheme="majorHAnsi"/>
                <w:szCs w:val="21"/>
                <w:u w:val="single"/>
              </w:rPr>
              <w:t>more than $2.6b shift in 2018</w:t>
            </w:r>
            <w:r w:rsidRPr="001344F3">
              <w:rPr>
                <w:rFonts w:asciiTheme="majorHAnsi" w:hAnsiTheme="majorHAnsi"/>
                <w:szCs w:val="21"/>
              </w:rPr>
              <w:t xml:space="preserve">)—which is paid by local residents, businesses, and fellow veterans—and </w:t>
            </w:r>
            <w:r w:rsidRPr="001344F3">
              <w:rPr>
                <w:rFonts w:asciiTheme="majorHAnsi" w:hAnsiTheme="majorHAnsi"/>
                <w:i/>
                <w:szCs w:val="21"/>
              </w:rPr>
              <w:t>has suggested moving from an exclusion model to a credit model so as to not disproportionately impact the very communities that are home to large numbers of disabled veterans</w:t>
            </w:r>
            <w:r w:rsidRPr="001344F3">
              <w:rPr>
                <w:rFonts w:asciiTheme="majorHAnsi" w:hAnsiTheme="majorHAnsi"/>
                <w:szCs w:val="21"/>
              </w:rPr>
              <w:t>. While included House and Senate language will likely add to a property tax shift, we are extremely grateful for the bipartisan acknowledgment by authors and chairs about the importance of not further restricting local community tax bases.  Because of this bipartisan acknowledgment and good faith commitment to not adding further tax shifts to local residents via this benefit structure, AMC stands</w:t>
            </w:r>
            <w:r w:rsidR="004A47A6" w:rsidRPr="001344F3">
              <w:rPr>
                <w:rFonts w:asciiTheme="majorHAnsi" w:hAnsiTheme="majorHAnsi"/>
                <w:szCs w:val="21"/>
              </w:rPr>
              <w:t xml:space="preserve"> in</w:t>
            </w:r>
            <w:r w:rsidRPr="001344F3">
              <w:rPr>
                <w:rFonts w:asciiTheme="majorHAnsi" w:hAnsiTheme="majorHAnsi"/>
                <w:szCs w:val="21"/>
              </w:rPr>
              <w:t xml:space="preserve"> support of this language.   </w:t>
            </w:r>
          </w:p>
        </w:tc>
        <w:tc>
          <w:tcPr>
            <w:tcW w:w="4140" w:type="dxa"/>
          </w:tcPr>
          <w:p w:rsidR="00866EB9" w:rsidRPr="001344F3" w:rsidRDefault="00866EB9" w:rsidP="007E6159">
            <w:pPr>
              <w:spacing w:before="120" w:after="120"/>
              <w:rPr>
                <w:rFonts w:asciiTheme="majorHAnsi" w:hAnsiTheme="majorHAnsi"/>
                <w:szCs w:val="21"/>
              </w:rPr>
            </w:pPr>
            <w:r w:rsidRPr="001344F3">
              <w:rPr>
                <w:rFonts w:asciiTheme="majorHAnsi" w:hAnsiTheme="majorHAnsi"/>
                <w:szCs w:val="21"/>
              </w:rPr>
              <w:t xml:space="preserve"> </w:t>
            </w:r>
          </w:p>
          <w:p w:rsidR="00866EB9" w:rsidRPr="001344F3" w:rsidRDefault="00866EB9" w:rsidP="007E6159">
            <w:pPr>
              <w:spacing w:before="120" w:after="120"/>
              <w:rPr>
                <w:rFonts w:asciiTheme="majorHAnsi" w:hAnsiTheme="majorHAnsi"/>
                <w:szCs w:val="21"/>
              </w:rPr>
            </w:pPr>
          </w:p>
        </w:tc>
      </w:tr>
      <w:tr w:rsidR="00866EB9" w:rsidRPr="001344F3" w:rsidTr="007E6159">
        <w:trPr>
          <w:jc w:val="center"/>
        </w:trPr>
        <w:tc>
          <w:tcPr>
            <w:tcW w:w="6565" w:type="dxa"/>
          </w:tcPr>
          <w:p w:rsidR="00866EB9" w:rsidRPr="001344F3" w:rsidRDefault="007E6159" w:rsidP="007E6159">
            <w:pPr>
              <w:spacing w:before="120" w:after="120"/>
              <w:rPr>
                <w:rFonts w:asciiTheme="majorHAnsi" w:hAnsiTheme="majorHAnsi"/>
                <w:b/>
                <w:szCs w:val="21"/>
              </w:rPr>
            </w:pPr>
            <w:r w:rsidRPr="001344F3">
              <w:rPr>
                <w:rFonts w:asciiTheme="majorHAnsi" w:hAnsiTheme="majorHAnsi"/>
                <w:b/>
                <w:szCs w:val="21"/>
              </w:rPr>
              <w:t xml:space="preserve">Buffer Credit/Exemption.  </w:t>
            </w:r>
            <w:r w:rsidR="00866EB9" w:rsidRPr="001344F3">
              <w:rPr>
                <w:rFonts w:asciiTheme="majorHAnsi" w:hAnsiTheme="majorHAnsi"/>
                <w:szCs w:val="21"/>
              </w:rPr>
              <w:t>AMC supports providing compensation to landowners required to comply with the riparian buffer requirement.  Auditors, assessors, and AMC staff have been working closely with authors from both the House and Senate to create a proposal that provides landowners of 2a/2b acres that have been put land into riparian buffers a property tax exemption.  AMC remains committed to working with committee members</w:t>
            </w:r>
            <w:r w:rsidR="004A47A6" w:rsidRPr="001344F3">
              <w:rPr>
                <w:rFonts w:asciiTheme="majorHAnsi" w:hAnsiTheme="majorHAnsi"/>
                <w:szCs w:val="21"/>
              </w:rPr>
              <w:t xml:space="preserve">, the Governor, and DOR </w:t>
            </w:r>
            <w:r w:rsidR="00866EB9" w:rsidRPr="001344F3">
              <w:rPr>
                <w:rFonts w:asciiTheme="majorHAnsi" w:hAnsiTheme="majorHAnsi"/>
                <w:szCs w:val="21"/>
              </w:rPr>
              <w:t xml:space="preserve">if there is interest in this proposal. </w:t>
            </w:r>
          </w:p>
        </w:tc>
        <w:tc>
          <w:tcPr>
            <w:tcW w:w="4140" w:type="dxa"/>
          </w:tcPr>
          <w:p w:rsidR="00866EB9" w:rsidRPr="001344F3" w:rsidRDefault="00866EB9" w:rsidP="007E6159">
            <w:pPr>
              <w:spacing w:before="120" w:after="120"/>
              <w:rPr>
                <w:rFonts w:asciiTheme="majorHAnsi" w:hAnsiTheme="majorHAnsi"/>
                <w:szCs w:val="21"/>
              </w:rPr>
            </w:pPr>
          </w:p>
        </w:tc>
      </w:tr>
    </w:tbl>
    <w:p w:rsidR="00F05AF3" w:rsidRDefault="00F05AF3" w:rsidP="007E6159">
      <w:pPr>
        <w:spacing w:before="120" w:after="120" w:line="240" w:lineRule="auto"/>
        <w:rPr>
          <w:rFonts w:asciiTheme="majorHAnsi" w:hAnsiTheme="majorHAnsi"/>
          <w:szCs w:val="20"/>
        </w:rPr>
      </w:pPr>
    </w:p>
    <w:p w:rsidR="00F05AF3" w:rsidRDefault="00F05AF3">
      <w:pPr>
        <w:rPr>
          <w:rFonts w:asciiTheme="majorHAnsi" w:hAnsiTheme="majorHAnsi"/>
          <w:szCs w:val="20"/>
        </w:rPr>
      </w:pPr>
    </w:p>
    <w:p w:rsidR="00F05AF3" w:rsidRPr="006055BB" w:rsidRDefault="00F05AF3" w:rsidP="00F05AF3">
      <w:pPr>
        <w:rPr>
          <w:rFonts w:ascii="Roboto" w:hAnsi="Roboto"/>
          <w:b/>
          <w:noProof/>
          <w:color w:val="7030A0"/>
          <w:sz w:val="56"/>
        </w:rPr>
      </w:pPr>
      <w:r w:rsidRPr="006055BB">
        <w:rPr>
          <w:rFonts w:ascii="Roboto" w:hAnsi="Roboto"/>
          <w:b/>
          <w:i/>
          <w:noProof/>
          <w:color w:val="7030A0"/>
          <w:sz w:val="44"/>
        </w:rPr>
        <w:drawing>
          <wp:anchor distT="0" distB="0" distL="114300" distR="114300" simplePos="0" relativeHeight="251664384" behindDoc="0" locked="0" layoutInCell="1" allowOverlap="1" wp14:anchorId="648E5EE4" wp14:editId="44DB46B1">
            <wp:simplePos x="0" y="0"/>
            <wp:positionH relativeFrom="margin">
              <wp:posOffset>3499485</wp:posOffset>
            </wp:positionH>
            <wp:positionV relativeFrom="margin">
              <wp:posOffset>5715</wp:posOffset>
            </wp:positionV>
            <wp:extent cx="3472815" cy="6667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mc_logoBLACK.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472815" cy="666750"/>
                    </a:xfrm>
                    <a:prstGeom prst="rect">
                      <a:avLst/>
                    </a:prstGeom>
                  </pic:spPr>
                </pic:pic>
              </a:graphicData>
            </a:graphic>
            <wp14:sizeRelH relativeFrom="page">
              <wp14:pctWidth>0</wp14:pctWidth>
            </wp14:sizeRelH>
            <wp14:sizeRelV relativeFrom="page">
              <wp14:pctHeight>0</wp14:pctHeight>
            </wp14:sizeRelV>
          </wp:anchor>
        </w:drawing>
      </w:r>
      <w:r w:rsidRPr="006055BB">
        <w:rPr>
          <w:rFonts w:ascii="Roboto" w:hAnsi="Roboto"/>
          <w:b/>
          <w:noProof/>
          <w:color w:val="7030A0"/>
          <w:sz w:val="56"/>
        </w:rPr>
        <w:t>Strengthening</w:t>
      </w:r>
      <w:r w:rsidRPr="006055BB">
        <w:rPr>
          <w:rFonts w:ascii="Roboto" w:hAnsi="Roboto"/>
          <w:b/>
          <w:color w:val="7030A0"/>
          <w:sz w:val="56"/>
        </w:rPr>
        <w:t xml:space="preserve"> </w:t>
      </w:r>
      <w:r w:rsidRPr="006055BB">
        <w:rPr>
          <w:rFonts w:ascii="Roboto" w:hAnsi="Roboto"/>
          <w:b/>
          <w:color w:val="7030A0"/>
          <w:sz w:val="56"/>
        </w:rPr>
        <w:br/>
        <w:t xml:space="preserve">County Program Aid </w:t>
      </w:r>
    </w:p>
    <w:p w:rsidR="00F05AF3" w:rsidRPr="00F05AF3" w:rsidRDefault="00F05AF3" w:rsidP="00F05AF3">
      <w:pPr>
        <w:spacing w:before="121"/>
        <w:ind w:right="4186"/>
        <w:rPr>
          <w:rFonts w:ascii="Roboto" w:hAnsi="Roboto"/>
          <w:b/>
          <w:i/>
          <w:sz w:val="32"/>
        </w:rPr>
      </w:pPr>
      <w:r w:rsidRPr="001D4A09">
        <w:rPr>
          <w:rFonts w:ascii="Roboto" w:hAnsi="Roboto"/>
          <w:b/>
          <w:i/>
          <w:color w:val="404040"/>
          <w:sz w:val="32"/>
        </w:rPr>
        <w:t>Updating th</w:t>
      </w:r>
      <w:r>
        <w:rPr>
          <w:rFonts w:ascii="Roboto" w:hAnsi="Roboto"/>
          <w:b/>
          <w:i/>
          <w:color w:val="404040"/>
          <w:sz w:val="32"/>
        </w:rPr>
        <w:t xml:space="preserve">e County Program Aid </w:t>
      </w:r>
      <w:r>
        <w:rPr>
          <w:rFonts w:ascii="Roboto" w:hAnsi="Roboto"/>
          <w:b/>
          <w:i/>
          <w:color w:val="404040"/>
          <w:sz w:val="32"/>
        </w:rPr>
        <w:br/>
        <w:t xml:space="preserve">Formula to </w:t>
      </w:r>
      <w:r w:rsidRPr="001D4A09">
        <w:rPr>
          <w:rFonts w:ascii="Roboto" w:hAnsi="Roboto"/>
          <w:b/>
          <w:i/>
          <w:color w:val="404040"/>
          <w:sz w:val="32"/>
        </w:rPr>
        <w:t>Support Today’s Counties</w:t>
      </w:r>
    </w:p>
    <w:p w:rsidR="00F05AF3" w:rsidRPr="00F05AF3" w:rsidRDefault="00F05AF3" w:rsidP="00F05AF3">
      <w:pPr>
        <w:spacing w:line="288" w:lineRule="auto"/>
        <w:jc w:val="both"/>
        <w:rPr>
          <w:rFonts w:ascii="Roboto" w:hAnsi="Roboto"/>
          <w:sz w:val="20"/>
          <w:szCs w:val="20"/>
        </w:rPr>
      </w:pPr>
      <w:r w:rsidRPr="00F05AF3">
        <w:rPr>
          <w:rFonts w:ascii="Roboto" w:hAnsi="Roboto"/>
          <w:noProof/>
          <w:sz w:val="20"/>
          <w:szCs w:val="20"/>
        </w:rPr>
        <mc:AlternateContent>
          <mc:Choice Requires="wps">
            <w:drawing>
              <wp:anchor distT="45720" distB="45720" distL="114300" distR="114300" simplePos="0" relativeHeight="251660288" behindDoc="0" locked="0" layoutInCell="1" allowOverlap="1" wp14:anchorId="2B33C36D" wp14:editId="7BDCFF3E">
                <wp:simplePos x="0" y="0"/>
                <wp:positionH relativeFrom="margin">
                  <wp:align>right</wp:align>
                </wp:positionH>
                <wp:positionV relativeFrom="paragraph">
                  <wp:posOffset>2499995</wp:posOffset>
                </wp:positionV>
                <wp:extent cx="3771900" cy="10001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000125"/>
                        </a:xfrm>
                        <a:prstGeom prst="rect">
                          <a:avLst/>
                        </a:prstGeom>
                        <a:solidFill>
                          <a:srgbClr val="7030A0"/>
                        </a:solidFill>
                        <a:ln w="9525">
                          <a:noFill/>
                          <a:miter lim="800000"/>
                          <a:headEnd/>
                          <a:tailEnd/>
                        </a:ln>
                      </wps:spPr>
                      <wps:txbx>
                        <w:txbxContent>
                          <w:p w:rsidR="00F05AF3" w:rsidRPr="006055BB" w:rsidRDefault="00F05AF3" w:rsidP="00F05AF3">
                            <w:pPr>
                              <w:pStyle w:val="Heading1"/>
                              <w:jc w:val="center"/>
                              <w:rPr>
                                <w:rFonts w:ascii="Roboto" w:hAnsi="Roboto"/>
                                <w:color w:val="FFFFFF" w:themeColor="background1"/>
                              </w:rPr>
                            </w:pPr>
                            <w:r w:rsidRPr="006055BB">
                              <w:rPr>
                                <w:rFonts w:ascii="Roboto" w:hAnsi="Roboto"/>
                                <w:color w:val="FFFFFF" w:themeColor="background1"/>
                              </w:rPr>
                              <w:t>County Program Aid is still significantly underfunded compared to its historic values, forcing counties to make up the difference through levy increases.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B33C36D" id="_x0000_t202" coordsize="21600,21600" o:spt="202" path="m,l,21600r21600,l21600,xe">
                <v:stroke joinstyle="miter"/>
                <v:path gradientshapeok="t" o:connecttype="rect"/>
              </v:shapetype>
              <v:shape id="Text Box 2" o:spid="_x0000_s1026" type="#_x0000_t202" style="position:absolute;left:0;text-align:left;margin-left:245.8pt;margin-top:196.85pt;width:297pt;height:78.7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" fillcolor="#7030a0" stroked="f">
                <v:textbox>
                  <w:txbxContent>
                    <w:p w:rsidR="00F05AF3" w:rsidRPr="006055BB" w:rsidRDefault="00F05AF3" w:rsidP="00F05AF3">
                      <w:pPr>
                        <w:pStyle w:val="Heading1"/>
                        <w:jc w:val="center"/>
                        <w:rPr>
                          <w:rFonts w:ascii="Roboto" w:hAnsi="Roboto"/>
                          <w:color w:val="FFFFFF" w:themeColor="background1"/>
                        </w:rPr>
                      </w:pPr>
                      <w:r w:rsidRPr="006055BB">
                        <w:rPr>
                          <w:rFonts w:ascii="Roboto" w:hAnsi="Roboto"/>
                          <w:color w:val="FFFFFF" w:themeColor="background1"/>
                        </w:rPr>
                        <w:t>County Program Aid is still significantly underfunded compared to its historic values, forcing counties to make up the difference through levy increases.</w:t>
                      </w:r>
                    </w:p>
                  </w:txbxContent>
                </v:textbox>
                <w10:wrap type="square" anchorx="margin"/>
              </v:shape>
            </w:pict>
          </mc:Fallback>
        </mc:AlternateContent>
      </w:r>
      <w:r w:rsidRPr="00F05AF3">
        <w:rPr>
          <w:rFonts w:ascii="Roboto" w:hAnsi="Roboto"/>
          <w:noProof/>
          <w:sz w:val="20"/>
          <w:szCs w:val="20"/>
        </w:rPr>
        <w:drawing>
          <wp:anchor distT="0" distB="0" distL="114300" distR="114300" simplePos="0" relativeHeight="251659264" behindDoc="1" locked="0" layoutInCell="1" allowOverlap="1" wp14:anchorId="6838D4C6" wp14:editId="67479575">
            <wp:simplePos x="0" y="0"/>
            <wp:positionH relativeFrom="margin">
              <wp:align>right</wp:align>
            </wp:positionH>
            <wp:positionV relativeFrom="paragraph">
              <wp:posOffset>84455</wp:posOffset>
            </wp:positionV>
            <wp:extent cx="3790950" cy="2188963"/>
            <wp:effectExtent l="0" t="0" r="0" b="1905"/>
            <wp:wrapSquare wrapText="bothSides"/>
            <wp:docPr id="4" name="Chart 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7CA8942-4978-4E17-B6A3-6253E9298A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Pr="00F05AF3">
        <w:rPr>
          <w:rFonts w:ascii="Roboto" w:hAnsi="Roboto"/>
          <w:sz w:val="20"/>
          <w:szCs w:val="20"/>
        </w:rPr>
        <w:t xml:space="preserve">Minnesota has a tradition of state-mandated, county-administered programming that requires counties to deliver essential services in public safety, human services, transportation, and other vital program areas on the state’s behalf. To help pay for these services, the state distributes funding to counties via County Program Aid (CPA) with the additional goal of offsetting mandate costs and decreasing property taxes. While recent legislative changes successfully addressed formula flaws that created regional volatility, funding is still not near historic highs when program dollars accounted for more than 20 percent of counties’ average levy. As counties continue to grapple with new mandates, cost shifts, and increased service costs, CPA stands as the most important general purpose aid in managing these costs and providing property tax payers relief. </w:t>
      </w:r>
    </w:p>
    <w:p w:rsidR="00F05AF3" w:rsidRPr="006055BB" w:rsidRDefault="00F05AF3" w:rsidP="00F05AF3">
      <w:pPr>
        <w:pStyle w:val="Heading1"/>
        <w:spacing w:after="120"/>
        <w:ind w:left="0"/>
        <w:rPr>
          <w:rFonts w:ascii="Roboto" w:hAnsi="Roboto"/>
          <w:color w:val="7030A0"/>
          <w:sz w:val="36"/>
          <w14:props3d w14:extrusionH="0" w14:contourW="0" w14:prstMaterial="matte"/>
        </w:rPr>
      </w:pPr>
      <w:r w:rsidRPr="006055BB">
        <w:rPr>
          <w:rFonts w:ascii="Roboto" w:hAnsi="Roboto"/>
          <w:color w:val="7030A0"/>
          <w:sz w:val="36"/>
          <w14:props3d w14:extrusionH="0" w14:contourW="0" w14:prstMaterial="matte"/>
        </w:rPr>
        <w:t>CPA is Property Tax Relief</w:t>
      </w:r>
    </w:p>
    <w:p w:rsidR="00F05AF3" w:rsidRPr="00F05AF3" w:rsidRDefault="00EB1108" w:rsidP="00F05AF3">
      <w:pPr>
        <w:spacing w:line="288" w:lineRule="auto"/>
        <w:jc w:val="both"/>
        <w:rPr>
          <w:rFonts w:ascii="Roboto" w:hAnsi="Roboto"/>
          <w:sz w:val="20"/>
        </w:rPr>
      </w:pPr>
      <w:r w:rsidRPr="001D4A09">
        <w:rPr>
          <w:rFonts w:ascii="Roboto" w:hAnsi="Roboto"/>
          <w:noProof/>
        </w:rPr>
        <mc:AlternateContent>
          <mc:Choice Requires="wps">
            <w:drawing>
              <wp:anchor distT="45720" distB="45720" distL="114300" distR="114300" simplePos="0" relativeHeight="251661312" behindDoc="0" locked="0" layoutInCell="1" allowOverlap="1" wp14:anchorId="4AF9F1CA" wp14:editId="71BDA494">
                <wp:simplePos x="0" y="0"/>
                <wp:positionH relativeFrom="margin">
                  <wp:posOffset>0</wp:posOffset>
                </wp:positionH>
                <wp:positionV relativeFrom="paragraph">
                  <wp:posOffset>376555</wp:posOffset>
                </wp:positionV>
                <wp:extent cx="2247900" cy="2047875"/>
                <wp:effectExtent l="0" t="0" r="0" b="95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2047875"/>
                        </a:xfrm>
                        <a:prstGeom prst="rect">
                          <a:avLst/>
                        </a:prstGeom>
                        <a:solidFill>
                          <a:srgbClr val="7030A0"/>
                        </a:solidFill>
                        <a:ln w="9525">
                          <a:noFill/>
                          <a:miter lim="800000"/>
                          <a:headEnd/>
                          <a:tailEnd/>
                        </a:ln>
                      </wps:spPr>
                      <wps:txbx>
                        <w:txbxContent>
                          <w:p w:rsidR="00F05AF3" w:rsidRPr="004F3F22" w:rsidRDefault="00F05AF3" w:rsidP="00F05AF3">
                            <w:pPr>
                              <w:spacing w:line="264" w:lineRule="auto"/>
                              <w:jc w:val="center"/>
                              <w:rPr>
                                <w:rFonts w:ascii="Roboto" w:hAnsi="Roboto"/>
                                <w:b/>
                                <w:color w:val="FFFFFF" w:themeColor="background1"/>
                                <w:sz w:val="23"/>
                                <w:szCs w:val="23"/>
                              </w:rPr>
                            </w:pPr>
                            <w:r w:rsidRPr="004F3F22">
                              <w:rPr>
                                <w:rFonts w:ascii="Roboto" w:hAnsi="Roboto"/>
                                <w:b/>
                                <w:color w:val="FFFFFF" w:themeColor="background1"/>
                                <w:sz w:val="23"/>
                                <w:szCs w:val="23"/>
                              </w:rPr>
                              <w:t>“Rock County receives $517,040 in CPA, this money results in a direct “buy down” of our levy by 8%. This money is used as general property tax relief for our taxpayers and helps defray the cost of mandated services.”</w:t>
                            </w:r>
                          </w:p>
                          <w:p w:rsidR="00F05AF3" w:rsidRPr="004F3F22" w:rsidRDefault="00F05AF3" w:rsidP="00F05AF3">
                            <w:pPr>
                              <w:pStyle w:val="ListParagraph"/>
                              <w:numPr>
                                <w:ilvl w:val="0"/>
                                <w:numId w:val="3"/>
                              </w:numPr>
                              <w:spacing w:before="120" w:after="0" w:line="264" w:lineRule="auto"/>
                              <w:ind w:left="990" w:hanging="180"/>
                              <w:contextualSpacing w:val="0"/>
                              <w:jc w:val="right"/>
                              <w:rPr>
                                <w:rFonts w:ascii="Roboto" w:hAnsi="Roboto"/>
                                <w:i/>
                                <w:color w:val="FFFFFF" w:themeColor="background1"/>
                                <w:sz w:val="23"/>
                                <w:szCs w:val="23"/>
                              </w:rPr>
                            </w:pPr>
                            <w:r w:rsidRPr="004F3F22">
                              <w:rPr>
                                <w:rFonts w:ascii="Roboto" w:hAnsi="Roboto"/>
                                <w:i/>
                                <w:color w:val="FFFFFF" w:themeColor="background1"/>
                                <w:sz w:val="23"/>
                                <w:szCs w:val="23"/>
                              </w:rPr>
                              <w:t>Rock County</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F9F1CA" id="_x0000_s1027" type="#_x0000_t202" style="position:absolute;left:0;text-align:left;margin-left:0;margin-top:29.65pt;width:177pt;height:161.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" fillcolor="#7030a0" stroked="f">
                <v:textbox>
                  <w:txbxContent>
                    <w:p w:rsidR="00F05AF3" w:rsidRPr="004F3F22" w:rsidRDefault="00F05AF3" w:rsidP="00F05AF3">
                      <w:pPr>
                        <w:spacing w:line="264" w:lineRule="auto"/>
                        <w:jc w:val="center"/>
                        <w:rPr>
                          <w:rFonts w:ascii="Roboto" w:hAnsi="Roboto"/>
                          <w:b/>
                          <w:color w:val="FFFFFF" w:themeColor="background1"/>
                          <w:sz w:val="23"/>
                          <w:szCs w:val="23"/>
                        </w:rPr>
                      </w:pPr>
                      <w:r w:rsidRPr="004F3F22">
                        <w:rPr>
                          <w:rFonts w:ascii="Roboto" w:hAnsi="Roboto"/>
                          <w:b/>
                          <w:color w:val="FFFFFF" w:themeColor="background1"/>
                          <w:sz w:val="23"/>
                          <w:szCs w:val="23"/>
                        </w:rPr>
                        <w:t>“Rock County receives $517,040 in CPA, this money results in a direct “buy down” of our levy by 8%. This money is used as general property tax relief for our taxpayers and helps defray the cost of mandated services.”</w:t>
                      </w:r>
                    </w:p>
                    <w:p w:rsidR="00F05AF3" w:rsidRPr="004F3F22" w:rsidRDefault="00F05AF3" w:rsidP="00F05AF3">
                      <w:pPr>
                        <w:pStyle w:val="ListParagraph"/>
                        <w:numPr>
                          <w:ilvl w:val="0"/>
                          <w:numId w:val="3"/>
                        </w:numPr>
                        <w:spacing w:before="120" w:after="0" w:line="264" w:lineRule="auto"/>
                        <w:ind w:left="990" w:hanging="180"/>
                        <w:contextualSpacing w:val="0"/>
                        <w:jc w:val="right"/>
                        <w:rPr>
                          <w:rFonts w:ascii="Roboto" w:hAnsi="Roboto"/>
                          <w:i/>
                          <w:color w:val="FFFFFF" w:themeColor="background1"/>
                          <w:sz w:val="23"/>
                          <w:szCs w:val="23"/>
                        </w:rPr>
                      </w:pPr>
                      <w:r w:rsidRPr="004F3F22">
                        <w:rPr>
                          <w:rFonts w:ascii="Roboto" w:hAnsi="Roboto"/>
                          <w:i/>
                          <w:color w:val="FFFFFF" w:themeColor="background1"/>
                          <w:sz w:val="23"/>
                          <w:szCs w:val="23"/>
                        </w:rPr>
                        <w:t>Rock County</w:t>
                      </w:r>
                    </w:p>
                  </w:txbxContent>
                </v:textbox>
                <w10:wrap type="square" anchorx="margin"/>
              </v:shape>
            </w:pict>
          </mc:Fallback>
        </mc:AlternateContent>
      </w:r>
      <w:r w:rsidRPr="001D4A09">
        <w:rPr>
          <w:rFonts w:ascii="Roboto" w:hAnsi="Roboto"/>
          <w:noProof/>
        </w:rPr>
        <mc:AlternateContent>
          <mc:Choice Requires="wps">
            <w:drawing>
              <wp:anchor distT="45720" distB="45720" distL="114300" distR="114300" simplePos="0" relativeHeight="251662336" behindDoc="0" locked="0" layoutInCell="1" allowOverlap="1" wp14:anchorId="0A14B415" wp14:editId="574D4918">
                <wp:simplePos x="0" y="0"/>
                <wp:positionH relativeFrom="column">
                  <wp:posOffset>2367280</wp:posOffset>
                </wp:positionH>
                <wp:positionV relativeFrom="paragraph">
                  <wp:posOffset>377190</wp:posOffset>
                </wp:positionV>
                <wp:extent cx="1943100" cy="2066925"/>
                <wp:effectExtent l="0" t="0" r="0" b="952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066925"/>
                        </a:xfrm>
                        <a:prstGeom prst="rect">
                          <a:avLst/>
                        </a:prstGeom>
                        <a:solidFill>
                          <a:srgbClr val="7030A0"/>
                        </a:solidFill>
                        <a:ln w="9525">
                          <a:noFill/>
                          <a:miter lim="800000"/>
                          <a:headEnd/>
                          <a:tailEnd/>
                        </a:ln>
                      </wps:spPr>
                      <wps:txbx>
                        <w:txbxContent>
                          <w:p w:rsidR="00F05AF3" w:rsidRPr="00EB1108" w:rsidRDefault="00F05AF3" w:rsidP="00F05AF3">
                            <w:pPr>
                              <w:spacing w:before="120" w:line="264" w:lineRule="auto"/>
                              <w:jc w:val="center"/>
                              <w:rPr>
                                <w:rFonts w:ascii="Roboto" w:hAnsi="Roboto"/>
                                <w:b/>
                                <w:color w:val="FFFFFF" w:themeColor="background1"/>
                                <w:sz w:val="21"/>
                                <w:szCs w:val="23"/>
                              </w:rPr>
                            </w:pPr>
                            <w:r w:rsidRPr="00EB1108">
                              <w:rPr>
                                <w:rFonts w:ascii="Roboto" w:hAnsi="Roboto"/>
                                <w:b/>
                                <w:color w:val="FFFFFF" w:themeColor="background1"/>
                                <w:sz w:val="21"/>
                                <w:szCs w:val="23"/>
                              </w:rPr>
                              <w:t>“We rely on CPA as an important revenue source to fund our operations. It makes a big difference for us --helping provide state-mandated services, and keeping local property taxes down.”</w:t>
                            </w:r>
                          </w:p>
                          <w:p w:rsidR="00F05AF3" w:rsidRPr="00EB1108" w:rsidRDefault="00F05AF3" w:rsidP="00F05AF3">
                            <w:pPr>
                              <w:spacing w:before="120" w:line="264" w:lineRule="auto"/>
                              <w:jc w:val="right"/>
                              <w:rPr>
                                <w:rFonts w:ascii="Roboto" w:hAnsi="Roboto"/>
                                <w:i/>
                                <w:color w:val="FFFFFF" w:themeColor="background1"/>
                                <w:sz w:val="21"/>
                                <w:szCs w:val="23"/>
                              </w:rPr>
                            </w:pPr>
                            <w:r w:rsidRPr="00EB1108">
                              <w:rPr>
                                <w:rFonts w:ascii="Roboto" w:hAnsi="Roboto"/>
                                <w:i/>
                                <w:color w:val="FFFFFF" w:themeColor="background1"/>
                                <w:sz w:val="21"/>
                                <w:szCs w:val="23"/>
                              </w:rPr>
                              <w:t>-Dakota County</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14B415" id="_x0000_s1028" type="#_x0000_t202" style="position:absolute;left:0;text-align:left;margin-left:186.4pt;margin-top:29.7pt;width:153pt;height:162.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" fillcolor="#7030a0" stroked="f">
                <v:textbox>
                  <w:txbxContent>
                    <w:p w:rsidR="00F05AF3" w:rsidRPr="00EB1108" w:rsidRDefault="00F05AF3" w:rsidP="00F05AF3">
                      <w:pPr>
                        <w:spacing w:before="120" w:line="264" w:lineRule="auto"/>
                        <w:jc w:val="center"/>
                        <w:rPr>
                          <w:rFonts w:ascii="Roboto" w:hAnsi="Roboto"/>
                          <w:b/>
                          <w:color w:val="FFFFFF" w:themeColor="background1"/>
                          <w:sz w:val="21"/>
                          <w:szCs w:val="23"/>
                        </w:rPr>
                      </w:pPr>
                      <w:r w:rsidRPr="00EB1108">
                        <w:rPr>
                          <w:rFonts w:ascii="Roboto" w:hAnsi="Roboto"/>
                          <w:b/>
                          <w:color w:val="FFFFFF" w:themeColor="background1"/>
                          <w:sz w:val="21"/>
                          <w:szCs w:val="23"/>
                        </w:rPr>
                        <w:t>“We rely on CPA as an important revenue source to fund our operations. It makes a big difference for us --helping provide state-mandated services, and keeping local property taxes down.”</w:t>
                      </w:r>
                    </w:p>
                    <w:p w:rsidR="00F05AF3" w:rsidRPr="00EB1108" w:rsidRDefault="00F05AF3" w:rsidP="00F05AF3">
                      <w:pPr>
                        <w:spacing w:before="120" w:line="264" w:lineRule="auto"/>
                        <w:jc w:val="right"/>
                        <w:rPr>
                          <w:rFonts w:ascii="Roboto" w:hAnsi="Roboto"/>
                          <w:i/>
                          <w:color w:val="FFFFFF" w:themeColor="background1"/>
                          <w:sz w:val="21"/>
                          <w:szCs w:val="23"/>
                        </w:rPr>
                      </w:pPr>
                      <w:r w:rsidRPr="00EB1108">
                        <w:rPr>
                          <w:rFonts w:ascii="Roboto" w:hAnsi="Roboto"/>
                          <w:i/>
                          <w:color w:val="FFFFFF" w:themeColor="background1"/>
                          <w:sz w:val="21"/>
                          <w:szCs w:val="23"/>
                        </w:rPr>
                        <w:t>-Dakota County</w:t>
                      </w:r>
                    </w:p>
                  </w:txbxContent>
                </v:textbox>
                <w10:wrap type="square"/>
              </v:shape>
            </w:pict>
          </mc:Fallback>
        </mc:AlternateContent>
      </w:r>
      <w:r w:rsidRPr="001D4A09">
        <w:rPr>
          <w:rFonts w:ascii="Roboto" w:hAnsi="Roboto"/>
          <w:noProof/>
        </w:rPr>
        <mc:AlternateContent>
          <mc:Choice Requires="wps">
            <w:drawing>
              <wp:anchor distT="45720" distB="45720" distL="114300" distR="114300" simplePos="0" relativeHeight="251663360" behindDoc="0" locked="0" layoutInCell="1" allowOverlap="1" wp14:anchorId="403D8810" wp14:editId="1399B07F">
                <wp:simplePos x="0" y="0"/>
                <wp:positionH relativeFrom="margin">
                  <wp:posOffset>4430395</wp:posOffset>
                </wp:positionH>
                <wp:positionV relativeFrom="paragraph">
                  <wp:posOffset>382881</wp:posOffset>
                </wp:positionV>
                <wp:extent cx="2562225" cy="2062480"/>
                <wp:effectExtent l="0" t="0" r="9525"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062480"/>
                        </a:xfrm>
                        <a:prstGeom prst="rect">
                          <a:avLst/>
                        </a:prstGeom>
                        <a:solidFill>
                          <a:srgbClr val="7030A0"/>
                        </a:solidFill>
                        <a:ln w="9525">
                          <a:noFill/>
                          <a:miter lim="800000"/>
                          <a:headEnd/>
                          <a:tailEnd/>
                        </a:ln>
                      </wps:spPr>
                      <wps:txbx>
                        <w:txbxContent>
                          <w:p w:rsidR="00F05AF3" w:rsidRPr="004F3F22" w:rsidRDefault="00F05AF3" w:rsidP="00F05AF3">
                            <w:pPr>
                              <w:spacing w:line="264" w:lineRule="auto"/>
                              <w:jc w:val="center"/>
                              <w:rPr>
                                <w:rFonts w:ascii="Roboto" w:hAnsi="Roboto"/>
                                <w:b/>
                                <w:color w:val="FFFFFF" w:themeColor="background1"/>
                                <w:sz w:val="23"/>
                                <w:szCs w:val="23"/>
                              </w:rPr>
                            </w:pPr>
                            <w:r w:rsidRPr="004F3F22">
                              <w:rPr>
                                <w:rFonts w:ascii="Roboto" w:hAnsi="Roboto"/>
                                <w:b/>
                                <w:color w:val="FFFFFF" w:themeColor="background1"/>
                                <w:sz w:val="23"/>
                                <w:szCs w:val="23"/>
                              </w:rPr>
                              <w:t xml:space="preserve">“Counties are expected to offer efficient, fair and consistent services to tax payers. Over the last 10 years, Marshall County’s aid fluctuated from $1.2 million to $133,000.  Without consistency in CPA, it’s not possible to provide consistency for taxpayers.” </w:t>
                            </w:r>
                          </w:p>
                          <w:p w:rsidR="00F05AF3" w:rsidRPr="004F3F22" w:rsidRDefault="00F05AF3" w:rsidP="00F05AF3">
                            <w:pPr>
                              <w:pStyle w:val="ListParagraph"/>
                              <w:numPr>
                                <w:ilvl w:val="0"/>
                                <w:numId w:val="3"/>
                              </w:numPr>
                              <w:spacing w:before="120" w:after="0" w:line="264" w:lineRule="auto"/>
                              <w:ind w:left="990" w:hanging="180"/>
                              <w:contextualSpacing w:val="0"/>
                              <w:jc w:val="right"/>
                              <w:rPr>
                                <w:rFonts w:ascii="Roboto" w:hAnsi="Roboto"/>
                                <w:i/>
                                <w:color w:val="FFFFFF" w:themeColor="background1"/>
                                <w:sz w:val="23"/>
                                <w:szCs w:val="23"/>
                              </w:rPr>
                            </w:pPr>
                            <w:r w:rsidRPr="004F3F22">
                              <w:rPr>
                                <w:rFonts w:ascii="Roboto" w:hAnsi="Roboto"/>
                                <w:i/>
                                <w:color w:val="FFFFFF" w:themeColor="background1"/>
                                <w:sz w:val="23"/>
                                <w:szCs w:val="23"/>
                              </w:rPr>
                              <w:t>Marshall County</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3D8810" id="_x0000_s1029" type="#_x0000_t202" style="position:absolute;left:0;text-align:left;margin-left:348.85pt;margin-top:30.15pt;width:201.75pt;height:162.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" fillcolor="#7030a0" stroked="f">
                <v:textbox>
                  <w:txbxContent>
                    <w:p w:rsidR="00F05AF3" w:rsidRPr="004F3F22" w:rsidRDefault="00F05AF3" w:rsidP="00F05AF3">
                      <w:pPr>
                        <w:spacing w:line="264" w:lineRule="auto"/>
                        <w:jc w:val="center"/>
                        <w:rPr>
                          <w:rFonts w:ascii="Roboto" w:hAnsi="Roboto"/>
                          <w:b/>
                          <w:color w:val="FFFFFF" w:themeColor="background1"/>
                          <w:sz w:val="23"/>
                          <w:szCs w:val="23"/>
                        </w:rPr>
                      </w:pPr>
                      <w:r w:rsidRPr="004F3F22">
                        <w:rPr>
                          <w:rFonts w:ascii="Roboto" w:hAnsi="Roboto"/>
                          <w:b/>
                          <w:color w:val="FFFFFF" w:themeColor="background1"/>
                          <w:sz w:val="23"/>
                          <w:szCs w:val="23"/>
                        </w:rPr>
                        <w:t xml:space="preserve">“Counties are expected to offer efficient, fair and consistent services to tax payers. Over the last 10 years, Marshall County’s aid fluctuated from $1.2 million to $133,000.  Without consistency in CPA, it’s not possible to provide consistency for taxpayers.” </w:t>
                      </w:r>
                    </w:p>
                    <w:p w:rsidR="00F05AF3" w:rsidRPr="004F3F22" w:rsidRDefault="00F05AF3" w:rsidP="00F05AF3">
                      <w:pPr>
                        <w:pStyle w:val="ListParagraph"/>
                        <w:numPr>
                          <w:ilvl w:val="0"/>
                          <w:numId w:val="3"/>
                        </w:numPr>
                        <w:spacing w:before="120" w:after="0" w:line="264" w:lineRule="auto"/>
                        <w:ind w:left="990" w:hanging="180"/>
                        <w:contextualSpacing w:val="0"/>
                        <w:jc w:val="right"/>
                        <w:rPr>
                          <w:rFonts w:ascii="Roboto" w:hAnsi="Roboto"/>
                          <w:i/>
                          <w:color w:val="FFFFFF" w:themeColor="background1"/>
                          <w:sz w:val="23"/>
                          <w:szCs w:val="23"/>
                        </w:rPr>
                      </w:pPr>
                      <w:r w:rsidRPr="004F3F22">
                        <w:rPr>
                          <w:rFonts w:ascii="Roboto" w:hAnsi="Roboto"/>
                          <w:i/>
                          <w:color w:val="FFFFFF" w:themeColor="background1"/>
                          <w:sz w:val="23"/>
                          <w:szCs w:val="23"/>
                        </w:rPr>
                        <w:t>Marshall County</w:t>
                      </w:r>
                    </w:p>
                  </w:txbxContent>
                </v:textbox>
                <w10:wrap type="square" anchorx="margin"/>
              </v:shape>
            </w:pict>
          </mc:Fallback>
        </mc:AlternateContent>
      </w:r>
      <w:r w:rsidR="00F05AF3" w:rsidRPr="001D4A09">
        <w:rPr>
          <w:rFonts w:ascii="Roboto" w:hAnsi="Roboto"/>
          <w:sz w:val="20"/>
        </w:rPr>
        <w:t xml:space="preserve"> </w:t>
      </w:r>
    </w:p>
    <w:p w:rsidR="004A571F" w:rsidRPr="00866EB9" w:rsidRDefault="00F05AF3" w:rsidP="00F05AF3">
      <w:pPr>
        <w:spacing w:line="264" w:lineRule="auto"/>
        <w:ind w:right="260"/>
        <w:jc w:val="center"/>
        <w:rPr>
          <w:rFonts w:asciiTheme="majorHAnsi" w:hAnsiTheme="majorHAnsi"/>
          <w:szCs w:val="20"/>
        </w:rPr>
      </w:pPr>
      <w:r w:rsidRPr="006055BB">
        <w:rPr>
          <w:rFonts w:ascii="Roboto" w:hAnsi="Roboto"/>
          <w:b/>
          <w:i/>
          <w:color w:val="7030A0"/>
          <w:sz w:val="24"/>
        </w:rPr>
        <w:t>In an age when counties are forced to do more with less, while still providing quality services and maintaining low property tax burdens, CPA remains an important tool in providing counties with the resources to fund transportation, human services, public safety, and many other programs of statewide importance.</w:t>
      </w:r>
    </w:p>
    <w:sectPr w:rsidR="004A571F" w:rsidRPr="00866EB9" w:rsidSect="00F42D6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386" w:rsidRDefault="00C96386" w:rsidP="00866EB9">
      <w:pPr>
        <w:spacing w:after="0" w:line="240" w:lineRule="auto"/>
      </w:pPr>
      <w:r>
        <w:separator/>
      </w:r>
    </w:p>
  </w:endnote>
  <w:endnote w:type="continuationSeparator" w:id="0">
    <w:p w:rsidR="00C96386" w:rsidRDefault="00C96386" w:rsidP="00866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charset w:val="00"/>
    <w:family w:val="auto"/>
    <w:pitch w:val="variable"/>
    <w:sig w:usb0="E00002FF" w:usb1="5000205B" w:usb2="00000020" w:usb3="00000000" w:csb0="0000019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EB9" w:rsidRPr="00866EB9" w:rsidRDefault="00866EB9" w:rsidP="00866EB9">
    <w:pPr>
      <w:pStyle w:val="BodyText"/>
      <w:tabs>
        <w:tab w:val="left" w:pos="3330"/>
      </w:tabs>
      <w:ind w:left="-1260" w:right="-1260"/>
      <w:jc w:val="center"/>
      <w:rPr>
        <w:rFonts w:asciiTheme="majorHAnsi" w:hAnsiTheme="majorHAnsi"/>
        <w:color w:val="4D3069"/>
        <w:sz w:val="16"/>
        <w:szCs w:val="16"/>
      </w:rPr>
    </w:pPr>
    <w:r w:rsidRPr="00866EB9">
      <w:rPr>
        <w:rFonts w:asciiTheme="majorHAnsi" w:hAnsiTheme="majorHAnsi"/>
        <w:color w:val="4D3069"/>
        <w:w w:val="105"/>
        <w:sz w:val="16"/>
        <w:szCs w:val="16"/>
      </w:rPr>
      <w:t>125</w:t>
    </w:r>
    <w:r w:rsidRPr="00866EB9">
      <w:rPr>
        <w:rFonts w:asciiTheme="majorHAnsi" w:hAnsiTheme="majorHAnsi"/>
        <w:color w:val="4D3069"/>
        <w:spacing w:val="13"/>
        <w:w w:val="105"/>
        <w:sz w:val="16"/>
        <w:szCs w:val="16"/>
      </w:rPr>
      <w:t xml:space="preserve"> </w:t>
    </w:r>
    <w:r w:rsidRPr="00866EB9">
      <w:rPr>
        <w:rFonts w:asciiTheme="majorHAnsi" w:hAnsiTheme="majorHAnsi"/>
        <w:color w:val="4D3069"/>
        <w:spacing w:val="-1"/>
        <w:w w:val="105"/>
        <w:sz w:val="16"/>
        <w:szCs w:val="16"/>
      </w:rPr>
      <w:t>Charles</w:t>
    </w:r>
    <w:r w:rsidRPr="00866EB9">
      <w:rPr>
        <w:rFonts w:asciiTheme="majorHAnsi" w:hAnsiTheme="majorHAnsi"/>
        <w:color w:val="4D3069"/>
        <w:spacing w:val="22"/>
        <w:w w:val="105"/>
        <w:sz w:val="16"/>
        <w:szCs w:val="16"/>
      </w:rPr>
      <w:t xml:space="preserve"> </w:t>
    </w:r>
    <w:r w:rsidRPr="00866EB9">
      <w:rPr>
        <w:rFonts w:asciiTheme="majorHAnsi" w:hAnsiTheme="majorHAnsi"/>
        <w:color w:val="4D3069"/>
        <w:w w:val="105"/>
        <w:sz w:val="16"/>
        <w:szCs w:val="16"/>
      </w:rPr>
      <w:t>Avenue,</w:t>
    </w:r>
    <w:r w:rsidRPr="00866EB9">
      <w:rPr>
        <w:rFonts w:asciiTheme="majorHAnsi" w:hAnsiTheme="majorHAnsi"/>
        <w:color w:val="4D3069"/>
        <w:spacing w:val="42"/>
        <w:w w:val="105"/>
        <w:sz w:val="16"/>
        <w:szCs w:val="16"/>
      </w:rPr>
      <w:t xml:space="preserve"> </w:t>
    </w:r>
    <w:r w:rsidRPr="00866EB9">
      <w:rPr>
        <w:rFonts w:asciiTheme="majorHAnsi" w:hAnsiTheme="majorHAnsi"/>
        <w:color w:val="4D3069"/>
        <w:w w:val="105"/>
        <w:sz w:val="16"/>
        <w:szCs w:val="16"/>
      </w:rPr>
      <w:t>Saint Paul,</w:t>
    </w:r>
    <w:r w:rsidRPr="00866EB9">
      <w:rPr>
        <w:rFonts w:asciiTheme="majorHAnsi" w:hAnsiTheme="majorHAnsi"/>
        <w:color w:val="4D3069"/>
        <w:spacing w:val="26"/>
        <w:w w:val="105"/>
        <w:sz w:val="16"/>
        <w:szCs w:val="16"/>
      </w:rPr>
      <w:t xml:space="preserve"> </w:t>
    </w:r>
    <w:r w:rsidRPr="00866EB9">
      <w:rPr>
        <w:rFonts w:asciiTheme="majorHAnsi" w:hAnsiTheme="majorHAnsi"/>
        <w:color w:val="4D3069"/>
        <w:w w:val="105"/>
        <w:sz w:val="16"/>
        <w:szCs w:val="16"/>
      </w:rPr>
      <w:t>MN</w:t>
    </w:r>
    <w:r w:rsidRPr="00866EB9">
      <w:rPr>
        <w:rFonts w:asciiTheme="majorHAnsi" w:hAnsiTheme="majorHAnsi"/>
        <w:color w:val="4D3069"/>
        <w:spacing w:val="33"/>
        <w:w w:val="105"/>
        <w:sz w:val="16"/>
        <w:szCs w:val="16"/>
      </w:rPr>
      <w:t xml:space="preserve"> </w:t>
    </w:r>
    <w:r w:rsidRPr="00866EB9">
      <w:rPr>
        <w:rFonts w:asciiTheme="majorHAnsi" w:hAnsiTheme="majorHAnsi"/>
        <w:color w:val="4D3069"/>
        <w:w w:val="105"/>
        <w:sz w:val="16"/>
        <w:szCs w:val="16"/>
      </w:rPr>
      <w:t>55103-2108</w:t>
    </w:r>
    <w:r w:rsidRPr="00866EB9">
      <w:rPr>
        <w:rFonts w:asciiTheme="majorHAnsi" w:hAnsiTheme="majorHAnsi"/>
        <w:color w:val="4D3069"/>
        <w:w w:val="95"/>
        <w:sz w:val="16"/>
        <w:szCs w:val="16"/>
      </w:rPr>
      <w:t xml:space="preserve"> | </w:t>
    </w:r>
    <w:r w:rsidRPr="00866EB9">
      <w:rPr>
        <w:rFonts w:asciiTheme="majorHAnsi" w:hAnsiTheme="majorHAnsi"/>
        <w:color w:val="4D3069"/>
        <w:w w:val="105"/>
        <w:sz w:val="16"/>
        <w:szCs w:val="16"/>
      </w:rPr>
      <w:t>Main Line/Switchboard:</w:t>
    </w:r>
    <w:r w:rsidRPr="00866EB9">
      <w:rPr>
        <w:rFonts w:asciiTheme="majorHAnsi" w:hAnsiTheme="majorHAnsi"/>
        <w:color w:val="4D3069"/>
        <w:spacing w:val="39"/>
        <w:w w:val="105"/>
        <w:sz w:val="16"/>
        <w:szCs w:val="16"/>
      </w:rPr>
      <w:t xml:space="preserve"> </w:t>
    </w:r>
    <w:r w:rsidRPr="00866EB9">
      <w:rPr>
        <w:rFonts w:asciiTheme="majorHAnsi" w:hAnsiTheme="majorHAnsi"/>
        <w:color w:val="4D3069"/>
        <w:w w:val="105"/>
        <w:sz w:val="16"/>
        <w:szCs w:val="16"/>
      </w:rPr>
      <w:t>651</w:t>
    </w:r>
    <w:r w:rsidRPr="00866EB9">
      <w:rPr>
        <w:rFonts w:asciiTheme="majorHAnsi" w:hAnsiTheme="majorHAnsi"/>
        <w:color w:val="4D3069"/>
        <w:spacing w:val="-26"/>
        <w:w w:val="105"/>
        <w:sz w:val="16"/>
        <w:szCs w:val="16"/>
      </w:rPr>
      <w:t xml:space="preserve"> </w:t>
    </w:r>
    <w:r w:rsidRPr="00866EB9">
      <w:rPr>
        <w:rFonts w:asciiTheme="majorHAnsi" w:hAnsiTheme="majorHAnsi"/>
        <w:color w:val="4D3069"/>
        <w:w w:val="105"/>
        <w:sz w:val="16"/>
        <w:szCs w:val="16"/>
      </w:rPr>
      <w:t>-224-3344, Fax:</w:t>
    </w:r>
    <w:r w:rsidRPr="00866EB9">
      <w:rPr>
        <w:rFonts w:asciiTheme="majorHAnsi" w:hAnsiTheme="majorHAnsi"/>
        <w:color w:val="4D3069"/>
        <w:spacing w:val="24"/>
        <w:w w:val="105"/>
        <w:sz w:val="16"/>
        <w:szCs w:val="16"/>
      </w:rPr>
      <w:t xml:space="preserve"> </w:t>
    </w:r>
    <w:r w:rsidRPr="00866EB9">
      <w:rPr>
        <w:rFonts w:asciiTheme="majorHAnsi" w:hAnsiTheme="majorHAnsi"/>
        <w:color w:val="4D3069"/>
        <w:w w:val="105"/>
        <w:sz w:val="16"/>
        <w:szCs w:val="16"/>
      </w:rPr>
      <w:t xml:space="preserve">651-224-6540 | </w:t>
    </w:r>
    <w:hyperlink r:id="rId1" w:history="1">
      <w:r w:rsidRPr="00866EB9">
        <w:rPr>
          <w:rStyle w:val="Hyperlink"/>
          <w:rFonts w:asciiTheme="majorHAnsi" w:hAnsiTheme="majorHAnsi"/>
          <w:color w:val="4D3069"/>
          <w:w w:val="105"/>
          <w:sz w:val="16"/>
          <w:szCs w:val="16"/>
        </w:rPr>
        <w:t>www.mncounti</w:t>
      </w:r>
      <w:r w:rsidRPr="00866EB9">
        <w:rPr>
          <w:rStyle w:val="Hyperlink"/>
          <w:rFonts w:asciiTheme="majorHAnsi" w:hAnsiTheme="majorHAnsi"/>
          <w:color w:val="4D3069"/>
          <w:spacing w:val="-1"/>
          <w:w w:val="105"/>
          <w:sz w:val="16"/>
          <w:szCs w:val="16"/>
        </w:rPr>
        <w:t>es.org</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386" w:rsidRDefault="00C96386" w:rsidP="00866EB9">
      <w:pPr>
        <w:spacing w:after="0" w:line="240" w:lineRule="auto"/>
      </w:pPr>
      <w:r>
        <w:separator/>
      </w:r>
    </w:p>
  </w:footnote>
  <w:footnote w:type="continuationSeparator" w:id="0">
    <w:p w:rsidR="00C96386" w:rsidRDefault="00C96386" w:rsidP="00866E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A7878"/>
    <w:multiLevelType w:val="hybridMultilevel"/>
    <w:tmpl w:val="ACAA7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3B0327"/>
    <w:multiLevelType w:val="hybridMultilevel"/>
    <w:tmpl w:val="1CFEC0BE"/>
    <w:lvl w:ilvl="0" w:tplc="FF26E4DA">
      <w:start w:val="2018"/>
      <w:numFmt w:val="bullet"/>
      <w:lvlText w:val="-"/>
      <w:lvlJc w:val="left"/>
      <w:pPr>
        <w:ind w:left="1080" w:hanging="360"/>
      </w:pPr>
      <w:rPr>
        <w:rFonts w:ascii="Roboto" w:eastAsiaTheme="minorHAnsi" w:hAnsi="Roboto"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5CF1FD0"/>
    <w:multiLevelType w:val="hybridMultilevel"/>
    <w:tmpl w:val="F6827D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C73"/>
    <w:rsid w:val="00070CAD"/>
    <w:rsid w:val="00075856"/>
    <w:rsid w:val="0008426E"/>
    <w:rsid w:val="000951C5"/>
    <w:rsid w:val="000D5BCC"/>
    <w:rsid w:val="000E520D"/>
    <w:rsid w:val="00126D3B"/>
    <w:rsid w:val="00133BBF"/>
    <w:rsid w:val="001344F3"/>
    <w:rsid w:val="001443E0"/>
    <w:rsid w:val="00160E5E"/>
    <w:rsid w:val="0017619A"/>
    <w:rsid w:val="001C5C73"/>
    <w:rsid w:val="001D583A"/>
    <w:rsid w:val="001F242F"/>
    <w:rsid w:val="001F7F8E"/>
    <w:rsid w:val="00212FB8"/>
    <w:rsid w:val="00230CD4"/>
    <w:rsid w:val="00280561"/>
    <w:rsid w:val="002A7936"/>
    <w:rsid w:val="002D13C5"/>
    <w:rsid w:val="002D1B4E"/>
    <w:rsid w:val="00305495"/>
    <w:rsid w:val="003065E7"/>
    <w:rsid w:val="003214A1"/>
    <w:rsid w:val="00322548"/>
    <w:rsid w:val="00333EFF"/>
    <w:rsid w:val="00337F7C"/>
    <w:rsid w:val="003702B2"/>
    <w:rsid w:val="00387561"/>
    <w:rsid w:val="003A0709"/>
    <w:rsid w:val="003A503C"/>
    <w:rsid w:val="003B4E61"/>
    <w:rsid w:val="003B6EF4"/>
    <w:rsid w:val="003D211B"/>
    <w:rsid w:val="00413B04"/>
    <w:rsid w:val="00440A48"/>
    <w:rsid w:val="00442DC1"/>
    <w:rsid w:val="00445F6B"/>
    <w:rsid w:val="0045428B"/>
    <w:rsid w:val="00464747"/>
    <w:rsid w:val="004751B5"/>
    <w:rsid w:val="004800E8"/>
    <w:rsid w:val="0048718B"/>
    <w:rsid w:val="004A47A6"/>
    <w:rsid w:val="004A571F"/>
    <w:rsid w:val="004B2689"/>
    <w:rsid w:val="004C3036"/>
    <w:rsid w:val="004D659A"/>
    <w:rsid w:val="004F30D0"/>
    <w:rsid w:val="0052270D"/>
    <w:rsid w:val="00560053"/>
    <w:rsid w:val="005649CE"/>
    <w:rsid w:val="00582189"/>
    <w:rsid w:val="005B0F1B"/>
    <w:rsid w:val="005E6282"/>
    <w:rsid w:val="00610673"/>
    <w:rsid w:val="00650B09"/>
    <w:rsid w:val="00650B1B"/>
    <w:rsid w:val="006B5CEE"/>
    <w:rsid w:val="006D4C20"/>
    <w:rsid w:val="006E510D"/>
    <w:rsid w:val="006F1B6F"/>
    <w:rsid w:val="00700580"/>
    <w:rsid w:val="00713E7A"/>
    <w:rsid w:val="007549F7"/>
    <w:rsid w:val="00757177"/>
    <w:rsid w:val="007608A7"/>
    <w:rsid w:val="0077613B"/>
    <w:rsid w:val="00795AAD"/>
    <w:rsid w:val="007C1416"/>
    <w:rsid w:val="007C3916"/>
    <w:rsid w:val="007E6159"/>
    <w:rsid w:val="007E669D"/>
    <w:rsid w:val="008101B9"/>
    <w:rsid w:val="00821681"/>
    <w:rsid w:val="00842757"/>
    <w:rsid w:val="00842B66"/>
    <w:rsid w:val="00863E8E"/>
    <w:rsid w:val="00866EB9"/>
    <w:rsid w:val="008712F2"/>
    <w:rsid w:val="008A5AE9"/>
    <w:rsid w:val="008B7266"/>
    <w:rsid w:val="00926090"/>
    <w:rsid w:val="00934D38"/>
    <w:rsid w:val="00966D87"/>
    <w:rsid w:val="0097740C"/>
    <w:rsid w:val="009866F2"/>
    <w:rsid w:val="00990A2E"/>
    <w:rsid w:val="009F3913"/>
    <w:rsid w:val="00A14D18"/>
    <w:rsid w:val="00A65BBF"/>
    <w:rsid w:val="00A71EFB"/>
    <w:rsid w:val="00AA7004"/>
    <w:rsid w:val="00AC77F9"/>
    <w:rsid w:val="00B17477"/>
    <w:rsid w:val="00B24812"/>
    <w:rsid w:val="00B7369A"/>
    <w:rsid w:val="00B742DA"/>
    <w:rsid w:val="00C072A5"/>
    <w:rsid w:val="00C85047"/>
    <w:rsid w:val="00C87D8A"/>
    <w:rsid w:val="00C96386"/>
    <w:rsid w:val="00D238B0"/>
    <w:rsid w:val="00D57306"/>
    <w:rsid w:val="00D87D45"/>
    <w:rsid w:val="00D943D4"/>
    <w:rsid w:val="00DA2882"/>
    <w:rsid w:val="00DF686C"/>
    <w:rsid w:val="00E01932"/>
    <w:rsid w:val="00E03E68"/>
    <w:rsid w:val="00E16FB3"/>
    <w:rsid w:val="00E536A5"/>
    <w:rsid w:val="00E6535F"/>
    <w:rsid w:val="00E75166"/>
    <w:rsid w:val="00EB1108"/>
    <w:rsid w:val="00EC596C"/>
    <w:rsid w:val="00EC7E7E"/>
    <w:rsid w:val="00F05AF3"/>
    <w:rsid w:val="00F17A14"/>
    <w:rsid w:val="00F21D45"/>
    <w:rsid w:val="00F34C42"/>
    <w:rsid w:val="00F42D69"/>
    <w:rsid w:val="00F54440"/>
    <w:rsid w:val="00F62309"/>
    <w:rsid w:val="00F63938"/>
    <w:rsid w:val="00F7491F"/>
    <w:rsid w:val="00F82865"/>
    <w:rsid w:val="00FA36A7"/>
    <w:rsid w:val="00FB2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0B8C3B-D4A1-4AF7-A3FD-F98271F2A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05AF3"/>
    <w:pPr>
      <w:widowControl w:val="0"/>
      <w:autoSpaceDE w:val="0"/>
      <w:autoSpaceDN w:val="0"/>
      <w:spacing w:after="0" w:line="240" w:lineRule="auto"/>
      <w:ind w:left="120"/>
      <w:outlineLvl w:val="0"/>
    </w:pPr>
    <w:rPr>
      <w:rFonts w:ascii="Century Gothic" w:eastAsia="Century Gothic" w:hAnsi="Century Gothic" w:cs="Century Gothic"/>
      <w:b/>
      <w:bCs/>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5C73"/>
    <w:pPr>
      <w:ind w:left="720"/>
      <w:contextualSpacing/>
    </w:pPr>
  </w:style>
  <w:style w:type="table" w:styleId="TableGrid">
    <w:name w:val="Table Grid"/>
    <w:basedOn w:val="TableNormal"/>
    <w:uiPriority w:val="59"/>
    <w:unhideWhenUsed/>
    <w:rsid w:val="00E03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D1B4E"/>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4800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0E8"/>
    <w:rPr>
      <w:rFonts w:ascii="Segoe UI" w:hAnsi="Segoe UI" w:cs="Segoe UI"/>
      <w:sz w:val="18"/>
      <w:szCs w:val="18"/>
    </w:rPr>
  </w:style>
  <w:style w:type="character" w:styleId="CommentReference">
    <w:name w:val="annotation reference"/>
    <w:basedOn w:val="DefaultParagraphFont"/>
    <w:uiPriority w:val="99"/>
    <w:semiHidden/>
    <w:unhideWhenUsed/>
    <w:rsid w:val="007608A7"/>
    <w:rPr>
      <w:sz w:val="16"/>
      <w:szCs w:val="16"/>
    </w:rPr>
  </w:style>
  <w:style w:type="paragraph" w:styleId="CommentText">
    <w:name w:val="annotation text"/>
    <w:basedOn w:val="Normal"/>
    <w:link w:val="CommentTextChar"/>
    <w:uiPriority w:val="99"/>
    <w:semiHidden/>
    <w:unhideWhenUsed/>
    <w:rsid w:val="007608A7"/>
    <w:pPr>
      <w:spacing w:line="240" w:lineRule="auto"/>
    </w:pPr>
    <w:rPr>
      <w:sz w:val="20"/>
      <w:szCs w:val="20"/>
    </w:rPr>
  </w:style>
  <w:style w:type="character" w:customStyle="1" w:styleId="CommentTextChar">
    <w:name w:val="Comment Text Char"/>
    <w:basedOn w:val="DefaultParagraphFont"/>
    <w:link w:val="CommentText"/>
    <w:uiPriority w:val="99"/>
    <w:semiHidden/>
    <w:rsid w:val="007608A7"/>
    <w:rPr>
      <w:sz w:val="20"/>
      <w:szCs w:val="20"/>
    </w:rPr>
  </w:style>
  <w:style w:type="paragraph" w:styleId="CommentSubject">
    <w:name w:val="annotation subject"/>
    <w:basedOn w:val="CommentText"/>
    <w:next w:val="CommentText"/>
    <w:link w:val="CommentSubjectChar"/>
    <w:uiPriority w:val="99"/>
    <w:semiHidden/>
    <w:unhideWhenUsed/>
    <w:rsid w:val="007608A7"/>
    <w:rPr>
      <w:b/>
      <w:bCs/>
    </w:rPr>
  </w:style>
  <w:style w:type="character" w:customStyle="1" w:styleId="CommentSubjectChar">
    <w:name w:val="Comment Subject Char"/>
    <w:basedOn w:val="CommentTextChar"/>
    <w:link w:val="CommentSubject"/>
    <w:uiPriority w:val="99"/>
    <w:semiHidden/>
    <w:rsid w:val="007608A7"/>
    <w:rPr>
      <w:b/>
      <w:bCs/>
      <w:sz w:val="20"/>
      <w:szCs w:val="20"/>
    </w:rPr>
  </w:style>
  <w:style w:type="paragraph" w:styleId="BodyText">
    <w:name w:val="Body Text"/>
    <w:basedOn w:val="Normal"/>
    <w:link w:val="BodyTextChar"/>
    <w:uiPriority w:val="1"/>
    <w:qFormat/>
    <w:rsid w:val="00F42D69"/>
    <w:pPr>
      <w:widowControl w:val="0"/>
      <w:spacing w:before="70" w:after="0" w:line="240" w:lineRule="auto"/>
      <w:ind w:left="475"/>
    </w:pPr>
    <w:rPr>
      <w:rFonts w:ascii="Arial" w:eastAsia="Arial" w:hAnsi="Arial"/>
      <w:sz w:val="17"/>
      <w:szCs w:val="17"/>
    </w:rPr>
  </w:style>
  <w:style w:type="character" w:customStyle="1" w:styleId="BodyTextChar">
    <w:name w:val="Body Text Char"/>
    <w:basedOn w:val="DefaultParagraphFont"/>
    <w:link w:val="BodyText"/>
    <w:uiPriority w:val="1"/>
    <w:rsid w:val="00F42D69"/>
    <w:rPr>
      <w:rFonts w:ascii="Arial" w:eastAsia="Arial" w:hAnsi="Arial"/>
      <w:sz w:val="17"/>
      <w:szCs w:val="17"/>
    </w:rPr>
  </w:style>
  <w:style w:type="paragraph" w:styleId="Header">
    <w:name w:val="header"/>
    <w:basedOn w:val="Normal"/>
    <w:link w:val="HeaderChar"/>
    <w:uiPriority w:val="99"/>
    <w:unhideWhenUsed/>
    <w:rsid w:val="00F42D69"/>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F42D69"/>
  </w:style>
  <w:style w:type="character" w:styleId="Hyperlink">
    <w:name w:val="Hyperlink"/>
    <w:basedOn w:val="DefaultParagraphFont"/>
    <w:uiPriority w:val="99"/>
    <w:unhideWhenUsed/>
    <w:rsid w:val="00F42D69"/>
    <w:rPr>
      <w:color w:val="0000FF" w:themeColor="hyperlink"/>
      <w:u w:val="single"/>
    </w:rPr>
  </w:style>
  <w:style w:type="paragraph" w:styleId="Footer">
    <w:name w:val="footer"/>
    <w:basedOn w:val="Normal"/>
    <w:link w:val="FooterChar"/>
    <w:uiPriority w:val="99"/>
    <w:unhideWhenUsed/>
    <w:rsid w:val="00866E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EB9"/>
  </w:style>
  <w:style w:type="character" w:customStyle="1" w:styleId="Heading1Char">
    <w:name w:val="Heading 1 Char"/>
    <w:basedOn w:val="DefaultParagraphFont"/>
    <w:link w:val="Heading1"/>
    <w:uiPriority w:val="9"/>
    <w:rsid w:val="00F05AF3"/>
    <w:rPr>
      <w:rFonts w:ascii="Century Gothic" w:eastAsia="Century Gothic" w:hAnsi="Century Gothic" w:cs="Century Gothic"/>
      <w:b/>
      <w:bCs/>
      <w:sz w:val="28"/>
      <w:szCs w:val="2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743322">
      <w:bodyDiv w:val="1"/>
      <w:marLeft w:val="0"/>
      <w:marRight w:val="0"/>
      <w:marTop w:val="0"/>
      <w:marBottom w:val="0"/>
      <w:divBdr>
        <w:top w:val="none" w:sz="0" w:space="0" w:color="auto"/>
        <w:left w:val="none" w:sz="0" w:space="0" w:color="auto"/>
        <w:bottom w:val="none" w:sz="0" w:space="0" w:color="auto"/>
        <w:right w:val="none" w:sz="0" w:space="0" w:color="auto"/>
      </w:divBdr>
    </w:div>
    <w:div w:id="882257018">
      <w:bodyDiv w:val="1"/>
      <w:marLeft w:val="0"/>
      <w:marRight w:val="0"/>
      <w:marTop w:val="0"/>
      <w:marBottom w:val="0"/>
      <w:divBdr>
        <w:top w:val="none" w:sz="0" w:space="0" w:color="auto"/>
        <w:left w:val="none" w:sz="0" w:space="0" w:color="auto"/>
        <w:bottom w:val="none" w:sz="0" w:space="0" w:color="auto"/>
        <w:right w:val="none" w:sz="0" w:space="0" w:color="auto"/>
      </w:divBdr>
    </w:div>
    <w:div w:id="1076974153">
      <w:bodyDiv w:val="1"/>
      <w:marLeft w:val="0"/>
      <w:marRight w:val="0"/>
      <w:marTop w:val="0"/>
      <w:marBottom w:val="0"/>
      <w:divBdr>
        <w:top w:val="none" w:sz="0" w:space="0" w:color="auto"/>
        <w:left w:val="none" w:sz="0" w:space="0" w:color="auto"/>
        <w:bottom w:val="none" w:sz="0" w:space="0" w:color="auto"/>
        <w:right w:val="none" w:sz="0" w:space="0" w:color="auto"/>
      </w:divBdr>
    </w:div>
    <w:div w:id="203476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ti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hilgart@mncounties.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1.xml"/></Relationships>
</file>

<file path=word/_rels/footer1.xml.rels><?xml version="1.0" encoding="UTF-8" standalone="yes"?>
<Relationships xmlns="http://schemas.openxmlformats.org/package/2006/relationships"><Relationship Id="rId1" Type="http://schemas.openxmlformats.org/officeDocument/2006/relationships/hyperlink" Target="http://www.mncounties.org"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amcdc01.amc.mncounties.org\amc\Member%20Services\Research\2019%20Research\CPA\CPA_Levy%20Percentag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Roboto" panose="02000000000000000000" pitchFamily="2" charset="0"/>
                <a:ea typeface="Roboto" panose="02000000000000000000" pitchFamily="2" charset="0"/>
                <a:cs typeface="+mn-cs"/>
              </a:defRPr>
            </a:pPr>
            <a:r>
              <a:rPr lang="en-US" sz="1200" b="1">
                <a:solidFill>
                  <a:schemeClr val="tx1"/>
                </a:solidFill>
                <a:latin typeface="Roboto" panose="02000000000000000000" pitchFamily="2" charset="0"/>
                <a:ea typeface="Roboto" panose="02000000000000000000" pitchFamily="2" charset="0"/>
              </a:rPr>
              <a:t>CPA as Percentage of County</a:t>
            </a:r>
            <a:r>
              <a:rPr lang="en-US" sz="1200" b="1" baseline="0">
                <a:solidFill>
                  <a:schemeClr val="tx1"/>
                </a:solidFill>
                <a:latin typeface="Roboto" panose="02000000000000000000" pitchFamily="2" charset="0"/>
                <a:ea typeface="Roboto" panose="02000000000000000000" pitchFamily="2" charset="0"/>
              </a:rPr>
              <a:t> </a:t>
            </a:r>
            <a:r>
              <a:rPr lang="en-US" sz="1200" b="1">
                <a:solidFill>
                  <a:schemeClr val="tx1"/>
                </a:solidFill>
                <a:latin typeface="Roboto" panose="02000000000000000000" pitchFamily="2" charset="0"/>
                <a:ea typeface="Roboto" panose="02000000000000000000" pitchFamily="2" charset="0"/>
              </a:rPr>
              <a:t>Levy: </a:t>
            </a:r>
            <a:br>
              <a:rPr lang="en-US" sz="1200" b="1">
                <a:solidFill>
                  <a:schemeClr val="tx1"/>
                </a:solidFill>
                <a:latin typeface="Roboto" panose="02000000000000000000" pitchFamily="2" charset="0"/>
                <a:ea typeface="Roboto" panose="02000000000000000000" pitchFamily="2" charset="0"/>
              </a:rPr>
            </a:br>
            <a:r>
              <a:rPr lang="en-US" sz="1200" b="1">
                <a:solidFill>
                  <a:schemeClr val="tx1"/>
                </a:solidFill>
                <a:latin typeface="Roboto" panose="02000000000000000000" pitchFamily="2" charset="0"/>
                <a:ea typeface="Roboto" panose="02000000000000000000" pitchFamily="2" charset="0"/>
              </a:rPr>
              <a:t>State Average</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Roboto" panose="02000000000000000000" pitchFamily="2" charset="0"/>
              <a:ea typeface="Roboto" panose="02000000000000000000" pitchFamily="2" charset="0"/>
              <a:cs typeface="+mn-cs"/>
            </a:defRPr>
          </a:pPr>
          <a:endParaRPr lang="en-US"/>
        </a:p>
      </c:txPr>
    </c:title>
    <c:autoTitleDeleted val="0"/>
    <c:plotArea>
      <c:layout/>
      <c:lineChart>
        <c:grouping val="standard"/>
        <c:varyColors val="0"/>
        <c:ser>
          <c:idx val="0"/>
          <c:order val="0"/>
          <c:tx>
            <c:strRef>
              <c:f>'levy percentage chart'!$A$2</c:f>
              <c:strCache>
                <c:ptCount val="1"/>
                <c:pt idx="0">
                  <c:v>CPA as Percentage of Levy: State Average</c:v>
                </c:pt>
              </c:strCache>
            </c:strRef>
          </c:tx>
          <c:spPr>
            <a:ln w="28575" cap="rnd">
              <a:solidFill>
                <a:srgbClr val="7030A0"/>
              </a:solidFill>
              <a:round/>
            </a:ln>
            <a:effectLst/>
          </c:spPr>
          <c:marker>
            <c:symbol val="none"/>
          </c:marker>
          <c:cat>
            <c:numRef>
              <c:f>'levy percentage chart'!$B$1:$U$1</c:f>
              <c:numCache>
                <c:formatCode>General</c:formatCode>
                <c:ptCount val="20"/>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pt idx="18">
                  <c:v>2017</c:v>
                </c:pt>
                <c:pt idx="19">
                  <c:v>2018</c:v>
                </c:pt>
              </c:numCache>
            </c:numRef>
          </c:cat>
          <c:val>
            <c:numRef>
              <c:f>'levy percentage chart'!$B$2:$U$2</c:f>
              <c:numCache>
                <c:formatCode>0.0%</c:formatCode>
                <c:ptCount val="20"/>
                <c:pt idx="0">
                  <c:v>0.22008904706447791</c:v>
                </c:pt>
                <c:pt idx="1">
                  <c:v>0.23262474610499481</c:v>
                </c:pt>
                <c:pt idx="2">
                  <c:v>0.21167461255967615</c:v>
                </c:pt>
                <c:pt idx="3">
                  <c:v>0.19791325622484499</c:v>
                </c:pt>
                <c:pt idx="4">
                  <c:v>0.15916750941080024</c:v>
                </c:pt>
                <c:pt idx="5">
                  <c:v>0.1113838911038333</c:v>
                </c:pt>
                <c:pt idx="6">
                  <c:v>0.1517431799073802</c:v>
                </c:pt>
                <c:pt idx="7">
                  <c:v>0.13899151444904795</c:v>
                </c:pt>
                <c:pt idx="8">
                  <c:v>0.12633390617398521</c:v>
                </c:pt>
                <c:pt idx="9">
                  <c:v>9.8720260890392431E-2</c:v>
                </c:pt>
                <c:pt idx="10">
                  <c:v>0.10890065674467188</c:v>
                </c:pt>
                <c:pt idx="11">
                  <c:v>8.6723386156582663E-2</c:v>
                </c:pt>
                <c:pt idx="12">
                  <c:v>7.5244114402468143E-2</c:v>
                </c:pt>
                <c:pt idx="13">
                  <c:v>7.4139766846669994E-2</c:v>
                </c:pt>
                <c:pt idx="14">
                  <c:v>6.4940809107553746E-2</c:v>
                </c:pt>
                <c:pt idx="15">
                  <c:v>7.5895970230020482E-2</c:v>
                </c:pt>
                <c:pt idx="16">
                  <c:v>7.470272978761941E-2</c:v>
                </c:pt>
                <c:pt idx="17">
                  <c:v>6.7879896933517744E-2</c:v>
                </c:pt>
                <c:pt idx="18">
                  <c:v>6.5888851874006504E-2</c:v>
                </c:pt>
                <c:pt idx="19">
                  <c:v>8.3575187383785124E-2</c:v>
                </c:pt>
              </c:numCache>
            </c:numRef>
          </c:val>
          <c:smooth val="0"/>
          <c:extLst xmlns:c16r2="http://schemas.microsoft.com/office/drawing/2015/06/chart">
            <c:ext xmlns:c16="http://schemas.microsoft.com/office/drawing/2014/chart" uri="{C3380CC4-5D6E-409C-BE32-E72D297353CC}">
              <c16:uniqueId val="{00000000-295A-47B5-AA9F-0494D98053E3}"/>
            </c:ext>
          </c:extLst>
        </c:ser>
        <c:dLbls>
          <c:showLegendKey val="0"/>
          <c:showVal val="0"/>
          <c:showCatName val="0"/>
          <c:showSerName val="0"/>
          <c:showPercent val="0"/>
          <c:showBubbleSize val="0"/>
        </c:dLbls>
        <c:smooth val="0"/>
        <c:axId val="208730768"/>
        <c:axId val="524477392"/>
      </c:lineChart>
      <c:catAx>
        <c:axId val="208730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Roboto" panose="02000000000000000000" pitchFamily="2" charset="0"/>
                <a:ea typeface="Roboto" panose="02000000000000000000" pitchFamily="2" charset="0"/>
                <a:cs typeface="+mn-cs"/>
              </a:defRPr>
            </a:pPr>
            <a:endParaRPr lang="en-US"/>
          </a:p>
        </c:txPr>
        <c:crossAx val="524477392"/>
        <c:crosses val="autoZero"/>
        <c:auto val="1"/>
        <c:lblAlgn val="ctr"/>
        <c:lblOffset val="100"/>
        <c:noMultiLvlLbl val="0"/>
      </c:catAx>
      <c:valAx>
        <c:axId val="52447739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Roboto" panose="02000000000000000000" pitchFamily="2" charset="0"/>
                <a:ea typeface="Roboto" panose="02000000000000000000" pitchFamily="2" charset="0"/>
                <a:cs typeface="+mn-cs"/>
              </a:defRPr>
            </a:pPr>
            <a:endParaRPr lang="en-US"/>
          </a:p>
        </c:txPr>
        <c:crossAx val="2087307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2B759-5B47-4311-9A02-B67C0003C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1482</Words>
  <Characters>8452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Association of Minnesota Counties</Company>
  <LinksUpToDate>false</LinksUpToDate>
  <CharactersWithSpaces>9915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Hilgart, Matthew</dc:creator>
  <cp:lastModifiedBy>DFLUser</cp:lastModifiedBy>
  <cp:revision>2</cp:revision>
  <cp:lastPrinted>2019-05-08T17:21:00Z</cp:lastPrinted>
  <dcterms:created xsi:type="dcterms:W3CDTF">2019-05-08T18:07:00Z</dcterms:created>
  <dcterms:modified xsi:type="dcterms:W3CDTF">2019-05-08T18:07:00Z</dcterms:modified>
</cp:coreProperties>
</file>