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E5" w:rsidRPr="00635B25" w:rsidRDefault="004544E5">
      <w:pPr>
        <w:rPr>
          <w:rFonts w:ascii="Arial" w:hAnsi="Arial" w:cs="Arial"/>
          <w:sz w:val="22"/>
          <w:szCs w:val="20"/>
        </w:rPr>
      </w:pPr>
      <w:bookmarkStart w:id="0" w:name="_GoBack"/>
      <w:bookmarkEnd w:id="0"/>
    </w:p>
    <w:p w:rsidR="00635B25" w:rsidRPr="00635B25" w:rsidRDefault="00635B25">
      <w:pPr>
        <w:rPr>
          <w:rFonts w:ascii="Arial" w:hAnsi="Arial" w:cs="Arial"/>
          <w:sz w:val="22"/>
          <w:szCs w:val="20"/>
        </w:rPr>
      </w:pPr>
    </w:p>
    <w:p w:rsidR="00635B25" w:rsidRPr="006574AD" w:rsidRDefault="00635B25" w:rsidP="006574AD">
      <w:pPr>
        <w:rPr>
          <w:rFonts w:ascii="Arial" w:hAnsi="Arial" w:cs="Arial"/>
          <w:b/>
          <w:color w:val="FFFFFF" w:themeColor="background1"/>
          <w:sz w:val="32"/>
          <w:szCs w:val="20"/>
        </w:rPr>
      </w:pPr>
      <w:r w:rsidRPr="006574AD">
        <w:rPr>
          <w:rFonts w:ascii="Arial" w:hAnsi="Arial" w:cs="Arial"/>
          <w:b/>
          <w:color w:val="FFFFFF" w:themeColor="background1"/>
          <w:sz w:val="32"/>
          <w:szCs w:val="20"/>
          <w:highlight w:val="red"/>
        </w:rPr>
        <w:t>MINNESOTA CAREGIVING SHORTAG</w:t>
      </w:r>
      <w:r w:rsidR="006574AD">
        <w:rPr>
          <w:rFonts w:ascii="Arial" w:hAnsi="Arial" w:cs="Arial"/>
          <w:b/>
          <w:color w:val="FFFFFF" w:themeColor="background1"/>
          <w:sz w:val="32"/>
          <w:szCs w:val="20"/>
          <w:highlight w:val="red"/>
        </w:rPr>
        <w:t xml:space="preserve">E </w:t>
      </w:r>
      <w:r w:rsidR="006574AD" w:rsidRPr="006574AD">
        <w:rPr>
          <w:rFonts w:ascii="Arial" w:hAnsi="Arial" w:cs="Arial"/>
          <w:b/>
          <w:color w:val="FF0000"/>
          <w:sz w:val="32"/>
          <w:szCs w:val="20"/>
          <w:highlight w:val="red"/>
        </w:rPr>
        <w:t>DDDDDDDDDDDD</w:t>
      </w:r>
      <w:r w:rsidRPr="006574AD">
        <w:rPr>
          <w:rFonts w:ascii="Arial" w:hAnsi="Arial" w:cs="Arial"/>
          <w:b/>
          <w:color w:val="FF0000"/>
          <w:sz w:val="32"/>
          <w:szCs w:val="20"/>
          <w:highlight w:val="red"/>
        </w:rPr>
        <w:t>E</w:t>
      </w:r>
      <w:r w:rsidR="006574AD" w:rsidRPr="006574AD">
        <w:rPr>
          <w:rFonts w:ascii="Arial" w:hAnsi="Arial" w:cs="Arial"/>
          <w:b/>
          <w:color w:val="FF0000"/>
          <w:sz w:val="32"/>
          <w:szCs w:val="20"/>
        </w:rPr>
        <w:t xml:space="preserve">  </w:t>
      </w:r>
    </w:p>
    <w:p w:rsidR="00635B25" w:rsidRPr="00635B25" w:rsidRDefault="00635B25">
      <w:pPr>
        <w:rPr>
          <w:rFonts w:ascii="Arial" w:hAnsi="Arial" w:cs="Arial"/>
          <w:sz w:val="22"/>
          <w:szCs w:val="20"/>
        </w:rPr>
      </w:pPr>
    </w:p>
    <w:p w:rsidR="00635B25" w:rsidRPr="006574AD" w:rsidRDefault="006574AD" w:rsidP="006574AD">
      <w:pPr>
        <w:ind w:left="720" w:hanging="720"/>
        <w:rPr>
          <w:rFonts w:ascii="Arial" w:hAnsi="Arial" w:cs="Arial"/>
          <w:b/>
          <w:color w:val="FF0000"/>
          <w:szCs w:val="20"/>
        </w:rPr>
      </w:pPr>
      <w:r w:rsidRPr="006574AD">
        <w:rPr>
          <w:rFonts w:ascii="Arial" w:hAnsi="Arial" w:cs="Arial"/>
          <w:b/>
          <w:color w:val="FF0000"/>
          <w:szCs w:val="20"/>
        </w:rPr>
        <w:t>T</w:t>
      </w:r>
      <w:r w:rsidR="00635B25" w:rsidRPr="006574AD">
        <w:rPr>
          <w:rFonts w:ascii="Arial" w:hAnsi="Arial" w:cs="Arial"/>
          <w:b/>
          <w:color w:val="FF0000"/>
          <w:szCs w:val="20"/>
        </w:rPr>
        <w:t xml:space="preserve">HE CAREGIVING SHORTAGE </w:t>
      </w:r>
    </w:p>
    <w:p w:rsidR="00635B25" w:rsidRPr="003E5174" w:rsidRDefault="00635B25" w:rsidP="006574AD">
      <w:p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>Minnesota communities are experiencing a growing shortage of senior care workers due to a fast-growing senior population and competitive local employment markets. Results of The Long-Term Care Imperative’s 2016 Legislative Survey</w:t>
      </w:r>
      <w:r w:rsidR="003E5174" w:rsidRPr="003E5174">
        <w:rPr>
          <w:rFonts w:ascii="Arial" w:hAnsi="Arial" w:cs="Arial"/>
          <w:sz w:val="20"/>
          <w:szCs w:val="20"/>
        </w:rPr>
        <w:t>**</w:t>
      </w:r>
      <w:r w:rsidRPr="003E5174">
        <w:rPr>
          <w:rFonts w:ascii="Arial" w:hAnsi="Arial" w:cs="Arial"/>
          <w:sz w:val="20"/>
          <w:szCs w:val="20"/>
        </w:rPr>
        <w:t xml:space="preserve"> shows: </w:t>
      </w:r>
    </w:p>
    <w:p w:rsidR="00635B25" w:rsidRPr="003E5174" w:rsidRDefault="00635B25" w:rsidP="006574A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>The number of open nursing and nursing assistant positions in Minnesota nursing homes alone grew by 11% in 2015 to 2,883 open FTEs;</w:t>
      </w:r>
    </w:p>
    <w:p w:rsidR="00635B25" w:rsidRPr="003E5174" w:rsidRDefault="00635B25" w:rsidP="006574A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>Annual turnover of direct caregivers rose to nearly 56% in 2015; and</w:t>
      </w:r>
    </w:p>
    <w:p w:rsidR="00635B25" w:rsidRPr="003E5174" w:rsidRDefault="00635B25" w:rsidP="006574A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 xml:space="preserve">50% of Minnesota care centers reported suspending admissions in 2015 because they lacked essential staff, impacting 4,400+ people. </w:t>
      </w:r>
    </w:p>
    <w:p w:rsidR="00635B25" w:rsidRPr="003E5174" w:rsidRDefault="003E5174" w:rsidP="006574AD">
      <w:p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>While there was significant ground gained due to action taken during the</w:t>
      </w:r>
      <w:r w:rsidR="00635B25" w:rsidRPr="003E5174">
        <w:rPr>
          <w:rFonts w:ascii="Arial" w:hAnsi="Arial" w:cs="Arial"/>
          <w:sz w:val="20"/>
          <w:szCs w:val="20"/>
        </w:rPr>
        <w:t xml:space="preserve"> 2015 Legislative Session with investments and education supports</w:t>
      </w:r>
      <w:r w:rsidRPr="003E5174">
        <w:rPr>
          <w:rFonts w:ascii="Arial" w:hAnsi="Arial" w:cs="Arial"/>
          <w:sz w:val="20"/>
          <w:szCs w:val="20"/>
        </w:rPr>
        <w:t>, we know, due to sheer demographics, that last year’s investment won’t be enough to meet the increasing need for senior care workers.</w:t>
      </w:r>
      <w:r w:rsidR="00635B25" w:rsidRPr="003E5174">
        <w:rPr>
          <w:rFonts w:ascii="Arial" w:hAnsi="Arial" w:cs="Arial"/>
          <w:sz w:val="20"/>
          <w:szCs w:val="20"/>
        </w:rPr>
        <w:t xml:space="preserve"> Initial conversations with workforce stakeholders indicate strong support to help, but consensus that Minnesota lacks effective collateral materials or a shared platform to communicate stories that capable of changing public interest.  </w:t>
      </w:r>
    </w:p>
    <w:p w:rsidR="006574AD" w:rsidRPr="00635B25" w:rsidRDefault="006574AD" w:rsidP="006574AD">
      <w:pPr>
        <w:rPr>
          <w:rFonts w:ascii="Arial" w:hAnsi="Arial" w:cs="Arial"/>
          <w:sz w:val="22"/>
          <w:szCs w:val="20"/>
        </w:rPr>
      </w:pPr>
    </w:p>
    <w:p w:rsidR="00635B25" w:rsidRPr="006574AD" w:rsidRDefault="00635B25" w:rsidP="006574AD">
      <w:pPr>
        <w:rPr>
          <w:rFonts w:ascii="Arial" w:hAnsi="Arial" w:cs="Arial"/>
          <w:b/>
          <w:color w:val="FF0000"/>
          <w:szCs w:val="20"/>
        </w:rPr>
      </w:pPr>
      <w:r w:rsidRPr="006574AD">
        <w:rPr>
          <w:rFonts w:ascii="Arial" w:hAnsi="Arial" w:cs="Arial"/>
          <w:b/>
          <w:color w:val="FF0000"/>
          <w:szCs w:val="20"/>
        </w:rPr>
        <w:t>PROPOSAL</w:t>
      </w:r>
    </w:p>
    <w:p w:rsidR="00635B25" w:rsidRPr="003E5174" w:rsidRDefault="00635B25" w:rsidP="006574AD">
      <w:p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>A universally requested statewide solution to this priority workforce shortage is to grow the public value for caregivers in communities via a bold public awareness campaign offering practical tools and messages alongside a major public relations outreach, statewide marketing tour and efforts featuring in-demand senior care careers.</w:t>
      </w:r>
    </w:p>
    <w:p w:rsidR="006574AD" w:rsidRPr="003E5174" w:rsidRDefault="006574AD" w:rsidP="006574AD">
      <w:pPr>
        <w:rPr>
          <w:rFonts w:ascii="Arial" w:hAnsi="Arial" w:cs="Arial"/>
          <w:sz w:val="20"/>
          <w:szCs w:val="20"/>
        </w:rPr>
      </w:pPr>
    </w:p>
    <w:p w:rsidR="00635B25" w:rsidRPr="006574AD" w:rsidRDefault="00635B25" w:rsidP="006574AD">
      <w:pPr>
        <w:rPr>
          <w:rFonts w:ascii="Arial" w:hAnsi="Arial" w:cs="Arial"/>
          <w:b/>
          <w:color w:val="FF0000"/>
          <w:szCs w:val="20"/>
        </w:rPr>
      </w:pPr>
      <w:r w:rsidRPr="006574AD">
        <w:rPr>
          <w:rFonts w:ascii="Arial" w:hAnsi="Arial" w:cs="Arial"/>
          <w:b/>
          <w:color w:val="FF0000"/>
          <w:szCs w:val="20"/>
        </w:rPr>
        <w:t>OUR GOALS</w:t>
      </w:r>
    </w:p>
    <w:p w:rsidR="00635B25" w:rsidRPr="003E5174" w:rsidRDefault="00635B25" w:rsidP="006574AD">
      <w:p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>The goals of this proposal are to:</w:t>
      </w:r>
    </w:p>
    <w:p w:rsidR="006574AD" w:rsidRPr="003E5174" w:rsidRDefault="00635B25" w:rsidP="006574A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>Help older adults across Minnesota see a much-needed increase in the number of individuals taking pride in caregiving careers;</w:t>
      </w:r>
      <w:r w:rsidR="006574AD" w:rsidRPr="003E5174">
        <w:rPr>
          <w:rFonts w:ascii="Arial" w:hAnsi="Arial" w:cs="Arial"/>
          <w:sz w:val="20"/>
          <w:szCs w:val="20"/>
        </w:rPr>
        <w:t xml:space="preserve"> </w:t>
      </w:r>
    </w:p>
    <w:p w:rsidR="006574AD" w:rsidRPr="003E5174" w:rsidRDefault="00635B25" w:rsidP="006574A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 xml:space="preserve">Leverage trusted local partnerships; an effort of this magnitude must be shared across workforce development, K-12, higher education and local employers; </w:t>
      </w:r>
    </w:p>
    <w:p w:rsidR="006574AD" w:rsidRPr="003E5174" w:rsidRDefault="00635B25" w:rsidP="006574A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>Produce effective materials and outreach strategies for workforce partners on a community level to be a catalyst for increasing</w:t>
      </w:r>
      <w:r w:rsidR="00C844CA" w:rsidRPr="003E5174">
        <w:rPr>
          <w:rFonts w:ascii="Arial" w:hAnsi="Arial" w:cs="Arial"/>
          <w:sz w:val="20"/>
          <w:szCs w:val="20"/>
        </w:rPr>
        <w:t xml:space="preserve"> interest in careers in long-term </w:t>
      </w:r>
      <w:proofErr w:type="gramStart"/>
      <w:r w:rsidR="00C844CA" w:rsidRPr="003E5174">
        <w:rPr>
          <w:rFonts w:ascii="Arial" w:hAnsi="Arial" w:cs="Arial"/>
          <w:sz w:val="20"/>
          <w:szCs w:val="20"/>
        </w:rPr>
        <w:t xml:space="preserve">care </w:t>
      </w:r>
      <w:r w:rsidRPr="003E5174">
        <w:rPr>
          <w:rFonts w:ascii="Arial" w:hAnsi="Arial" w:cs="Arial"/>
          <w:sz w:val="20"/>
          <w:szCs w:val="20"/>
        </w:rPr>
        <w:t>;</w:t>
      </w:r>
      <w:proofErr w:type="gramEnd"/>
      <w:r w:rsidRPr="003E5174">
        <w:rPr>
          <w:rFonts w:ascii="Arial" w:hAnsi="Arial" w:cs="Arial"/>
          <w:sz w:val="20"/>
          <w:szCs w:val="20"/>
        </w:rPr>
        <w:t xml:space="preserve"> </w:t>
      </w:r>
    </w:p>
    <w:p w:rsidR="006574AD" w:rsidRPr="003E5174" w:rsidRDefault="00635B25" w:rsidP="006574A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sz w:val="20"/>
          <w:szCs w:val="20"/>
        </w:rPr>
        <w:t xml:space="preserve">Replicate the success of </w:t>
      </w:r>
      <w:r w:rsidR="002E188C" w:rsidRPr="003E5174">
        <w:rPr>
          <w:rFonts w:ascii="Arial" w:hAnsi="Arial" w:cs="Arial"/>
          <w:sz w:val="20"/>
          <w:szCs w:val="20"/>
        </w:rPr>
        <w:t>workforce campaigns such as Car</w:t>
      </w:r>
      <w:r w:rsidRPr="003E5174">
        <w:rPr>
          <w:rFonts w:ascii="Arial" w:hAnsi="Arial" w:cs="Arial"/>
          <w:sz w:val="20"/>
          <w:szCs w:val="20"/>
        </w:rPr>
        <w:t xml:space="preserve">ingJobs.ND.gov in North Dakota’s or the manufacturing sector’s Dream It Do It Minnesota by connecting with students, educators, parents and local partners to: </w:t>
      </w:r>
    </w:p>
    <w:p w:rsidR="006574AD" w:rsidRPr="003E5174" w:rsidRDefault="00635B25" w:rsidP="006574A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b/>
          <w:i/>
          <w:sz w:val="20"/>
          <w:szCs w:val="20"/>
        </w:rPr>
        <w:t>Inspire</w:t>
      </w:r>
      <w:r w:rsidRPr="003E5174">
        <w:rPr>
          <w:rFonts w:ascii="Arial" w:hAnsi="Arial" w:cs="Arial"/>
          <w:sz w:val="20"/>
          <w:szCs w:val="20"/>
        </w:rPr>
        <w:t xml:space="preserve"> people to prepare for and seek senior care careers; </w:t>
      </w:r>
    </w:p>
    <w:p w:rsidR="006574AD" w:rsidRPr="003E5174" w:rsidRDefault="00635B25" w:rsidP="006574A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b/>
          <w:i/>
          <w:sz w:val="20"/>
          <w:szCs w:val="20"/>
        </w:rPr>
        <w:t>Improve</w:t>
      </w:r>
      <w:r w:rsidRPr="003E5174">
        <w:rPr>
          <w:rFonts w:ascii="Arial" w:hAnsi="Arial" w:cs="Arial"/>
          <w:sz w:val="20"/>
          <w:szCs w:val="20"/>
        </w:rPr>
        <w:t xml:space="preserve"> the public image of senior care and caregiving careers; </w:t>
      </w:r>
    </w:p>
    <w:p w:rsidR="006574AD" w:rsidRPr="003E5174" w:rsidRDefault="00635B25" w:rsidP="006574A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b/>
          <w:i/>
          <w:sz w:val="20"/>
          <w:szCs w:val="20"/>
        </w:rPr>
        <w:t>Influence</w:t>
      </w:r>
      <w:r w:rsidRPr="003E5174">
        <w:rPr>
          <w:rFonts w:ascii="Arial" w:hAnsi="Arial" w:cs="Arial"/>
          <w:sz w:val="20"/>
          <w:szCs w:val="20"/>
        </w:rPr>
        <w:t xml:space="preserve"> schools, parents and guidance counselors to embrace senior care careers; and </w:t>
      </w:r>
    </w:p>
    <w:p w:rsidR="00635B25" w:rsidRDefault="00635B25" w:rsidP="006574A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5174">
        <w:rPr>
          <w:rFonts w:ascii="Arial" w:hAnsi="Arial" w:cs="Arial"/>
          <w:b/>
          <w:i/>
          <w:sz w:val="20"/>
          <w:szCs w:val="20"/>
        </w:rPr>
        <w:t>Involve</w:t>
      </w:r>
      <w:r w:rsidRPr="003E5174">
        <w:rPr>
          <w:rFonts w:ascii="Arial" w:hAnsi="Arial" w:cs="Arial"/>
          <w:sz w:val="20"/>
          <w:szCs w:val="20"/>
        </w:rPr>
        <w:t xml:space="preserve"> local senior care providers as training and employment partners.</w:t>
      </w:r>
    </w:p>
    <w:p w:rsidR="003E5174" w:rsidRDefault="003E5174" w:rsidP="006574A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3E5174" w:rsidRPr="003E5174" w:rsidRDefault="003E5174" w:rsidP="003E5174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3E5174">
        <w:rPr>
          <w:rFonts w:ascii="Arial" w:hAnsi="Arial" w:cs="Arial"/>
          <w:i/>
          <w:sz w:val="16"/>
          <w:szCs w:val="16"/>
        </w:rPr>
        <w:t>**survey data collection was in December 2015, and does not fully reflect impact of 2015 payment reforms</w:t>
      </w:r>
    </w:p>
    <w:sectPr w:rsidR="003E5174" w:rsidRPr="003E51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44C" w:rsidRDefault="0012744C" w:rsidP="00635B25">
      <w:r>
        <w:separator/>
      </w:r>
    </w:p>
  </w:endnote>
  <w:endnote w:type="continuationSeparator" w:id="0">
    <w:p w:rsidR="0012744C" w:rsidRDefault="0012744C" w:rsidP="0063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AD" w:rsidRPr="006574AD" w:rsidRDefault="006574AD" w:rsidP="006574AD">
    <w:pPr>
      <w:pStyle w:val="Footer"/>
      <w:jc w:val="right"/>
      <w:rPr>
        <w:rFonts w:ascii="Times New Roman" w:hAnsi="Times New Roman" w:cs="Times New Roman"/>
        <w:i/>
        <w:sz w:val="20"/>
      </w:rPr>
    </w:pPr>
    <w:r w:rsidRPr="006574AD">
      <w:rPr>
        <w:rFonts w:ascii="Times New Roman" w:hAnsi="Times New Roman" w:cs="Times New Roman"/>
        <w:i/>
        <w:sz w:val="20"/>
      </w:rPr>
      <w:t>2016 The Long-Term Care Imperative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4C" w:rsidRDefault="0012744C" w:rsidP="00635B25">
      <w:r>
        <w:separator/>
      </w:r>
    </w:p>
  </w:footnote>
  <w:footnote w:type="continuationSeparator" w:id="0">
    <w:p w:rsidR="0012744C" w:rsidRDefault="0012744C" w:rsidP="0063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B25" w:rsidRDefault="00635B25" w:rsidP="00635B25">
    <w:pPr>
      <w:pStyle w:val="Header"/>
      <w:jc w:val="both"/>
    </w:pPr>
    <w:r>
      <w:rPr>
        <w:noProof/>
      </w:rPr>
      <w:drawing>
        <wp:inline distT="0" distB="0" distL="0" distR="0" wp14:anchorId="681E5DFE" wp14:editId="7008CF82">
          <wp:extent cx="2809875" cy="10668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perative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1702"/>
    <w:multiLevelType w:val="hybridMultilevel"/>
    <w:tmpl w:val="C9BC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E09AA"/>
    <w:multiLevelType w:val="hybridMultilevel"/>
    <w:tmpl w:val="F8FC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25"/>
    <w:rsid w:val="0012744C"/>
    <w:rsid w:val="002E188C"/>
    <w:rsid w:val="002F2BD4"/>
    <w:rsid w:val="00380BEB"/>
    <w:rsid w:val="003E5174"/>
    <w:rsid w:val="004544E5"/>
    <w:rsid w:val="00635B25"/>
    <w:rsid w:val="006574AD"/>
    <w:rsid w:val="00C844CA"/>
    <w:rsid w:val="00E5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7CE3029-2B11-45C5-9A40-22047544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B25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5B25"/>
  </w:style>
  <w:style w:type="paragraph" w:styleId="Footer">
    <w:name w:val="footer"/>
    <w:basedOn w:val="Normal"/>
    <w:link w:val="FooterChar"/>
    <w:uiPriority w:val="99"/>
    <w:unhideWhenUsed/>
    <w:rsid w:val="00635B25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35B25"/>
  </w:style>
  <w:style w:type="paragraph" w:styleId="ListParagraph">
    <w:name w:val="List Paragraph"/>
    <w:basedOn w:val="Normal"/>
    <w:uiPriority w:val="34"/>
    <w:qFormat/>
    <w:rsid w:val="0063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Foss Olson</dc:creator>
  <cp:keywords/>
  <dc:description/>
  <cp:lastModifiedBy>Toby Pearson</cp:lastModifiedBy>
  <cp:revision>2</cp:revision>
  <dcterms:created xsi:type="dcterms:W3CDTF">2016-03-15T21:01:00Z</dcterms:created>
  <dcterms:modified xsi:type="dcterms:W3CDTF">2016-03-15T21:01:00Z</dcterms:modified>
</cp:coreProperties>
</file>