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341" w:rsidRPr="00DD0341" w:rsidRDefault="00DD0341" w:rsidP="007D4A51">
      <w:pPr>
        <w:shd w:val="clear" w:color="auto" w:fill="FFFFFF"/>
        <w:spacing w:before="240" w:after="0" w:line="240" w:lineRule="atLeast"/>
        <w:textAlignment w:val="baseline"/>
        <w:outlineLvl w:val="1"/>
        <w:rPr>
          <w:rFonts w:ascii="Times New Roman" w:eastAsia="Times New Roman" w:hAnsi="Times New Roman" w:cs="Times New Roman"/>
          <w:b/>
          <w:bCs/>
          <w:color w:val="000000"/>
          <w:sz w:val="24"/>
          <w:szCs w:val="20"/>
        </w:rPr>
      </w:pPr>
      <w:r w:rsidRPr="00DD0341">
        <w:rPr>
          <w:rFonts w:ascii="Times New Roman" w:eastAsia="Times New Roman" w:hAnsi="Times New Roman" w:cs="Times New Roman"/>
          <w:b/>
          <w:bCs/>
          <w:color w:val="000000"/>
          <w:sz w:val="24"/>
          <w:szCs w:val="20"/>
        </w:rPr>
        <w:t>Chapter 6, Article 10, Sec. 143</w:t>
      </w:r>
    </w:p>
    <w:p w:rsidR="00DD0341" w:rsidRDefault="00DD0341" w:rsidP="007D4A51">
      <w:pPr>
        <w:shd w:val="clear" w:color="auto" w:fill="FFFFFF"/>
        <w:spacing w:before="240" w:after="0" w:line="240" w:lineRule="atLeast"/>
        <w:textAlignment w:val="baseline"/>
        <w:outlineLvl w:val="1"/>
        <w:rPr>
          <w:rFonts w:ascii="Times New Roman" w:eastAsia="Times New Roman" w:hAnsi="Times New Roman" w:cs="Times New Roman"/>
          <w:b/>
          <w:bCs/>
          <w:color w:val="000000"/>
          <w:sz w:val="20"/>
          <w:szCs w:val="20"/>
          <w:u w:val="single"/>
        </w:rPr>
      </w:pPr>
      <w:hyperlink r:id="rId4" w:history="1">
        <w:r w:rsidRPr="007D4A51">
          <w:rPr>
            <w:rFonts w:ascii="Segoe UI" w:eastAsia="Times New Roman" w:hAnsi="Segoe UI" w:cs="Segoe UI"/>
            <w:color w:val="0000FF"/>
            <w:sz w:val="20"/>
            <w:szCs w:val="20"/>
            <w:u w:val="single"/>
          </w:rPr>
          <w:t>https://www.revisor.mn.gov/laws/?doctype=Chapter&amp;id=6&amp;year=2017&amp;type=1</w:t>
        </w:r>
      </w:hyperlink>
    </w:p>
    <w:p w:rsidR="0027447A" w:rsidRDefault="0027447A"/>
    <w:p w:rsidR="00EB54D2" w:rsidRPr="00EB54D2" w:rsidRDefault="00EB54D2" w:rsidP="00EB54D2">
      <w:pPr>
        <w:rPr>
          <w:rFonts w:ascii="Times New Roman" w:hAnsi="Times New Roman" w:cs="Times New Roman"/>
          <w:b/>
          <w:sz w:val="25"/>
          <w:szCs w:val="25"/>
          <w:u w:val="single"/>
        </w:rPr>
      </w:pPr>
      <w:r w:rsidRPr="00EB54D2">
        <w:rPr>
          <w:rFonts w:ascii="Times New Roman" w:hAnsi="Times New Roman" w:cs="Times New Roman"/>
          <w:b/>
          <w:sz w:val="25"/>
          <w:szCs w:val="25"/>
          <w:u w:val="single"/>
        </w:rPr>
        <w:t>STUDY AND REPORT ON HOME CARE NURSING WORKFORCE SHORTAGE.</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(a) The chair and ranking minority member of the senate Human Services Reform Finance and Policy Committee and the chair and ranking minority member of the house of representatives Health and Human</w:t>
      </w:r>
      <w:bookmarkStart w:id="0" w:name="_GoBack"/>
      <w:bookmarkEnd w:id="0"/>
      <w:r w:rsidRPr="00EB54D2">
        <w:rPr>
          <w:rFonts w:ascii="Times New Roman" w:hAnsi="Times New Roman" w:cs="Times New Roman"/>
          <w:sz w:val="25"/>
          <w:szCs w:val="25"/>
          <w:u w:val="single"/>
        </w:rPr>
        <w:t xml:space="preserve"> Services Finance Committee shall convene a working group to study and report on the shortage of registered nurses and licensed practical nurses available to provide low-complexity regular home care services to clients in need of such services, especially clients covered by medical assistance, and to provide recommendations for ways to address the workforce shortage. The working group shall consist of 14 members appointed as follows:</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 xml:space="preserve">(1) </w:t>
      </w:r>
      <w:proofErr w:type="gramStart"/>
      <w:r w:rsidRPr="00EB54D2">
        <w:rPr>
          <w:rFonts w:ascii="Times New Roman" w:hAnsi="Times New Roman" w:cs="Times New Roman"/>
          <w:sz w:val="25"/>
          <w:szCs w:val="25"/>
          <w:u w:val="single"/>
        </w:rPr>
        <w:t>the</w:t>
      </w:r>
      <w:proofErr w:type="gramEnd"/>
      <w:r w:rsidRPr="00EB54D2">
        <w:rPr>
          <w:rFonts w:ascii="Times New Roman" w:hAnsi="Times New Roman" w:cs="Times New Roman"/>
          <w:sz w:val="25"/>
          <w:szCs w:val="25"/>
          <w:u w:val="single"/>
        </w:rPr>
        <w:t xml:space="preserve"> chair of the senate Human Services Reform Finance and Policy Committee or a designee;</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 xml:space="preserve">(2) </w:t>
      </w:r>
      <w:proofErr w:type="gramStart"/>
      <w:r w:rsidRPr="00EB54D2">
        <w:rPr>
          <w:rFonts w:ascii="Times New Roman" w:hAnsi="Times New Roman" w:cs="Times New Roman"/>
          <w:sz w:val="25"/>
          <w:szCs w:val="25"/>
          <w:u w:val="single"/>
        </w:rPr>
        <w:t>the</w:t>
      </w:r>
      <w:proofErr w:type="gramEnd"/>
      <w:r w:rsidRPr="00EB54D2">
        <w:rPr>
          <w:rFonts w:ascii="Times New Roman" w:hAnsi="Times New Roman" w:cs="Times New Roman"/>
          <w:sz w:val="25"/>
          <w:szCs w:val="25"/>
          <w:u w:val="single"/>
        </w:rPr>
        <w:t xml:space="preserve"> ranking minority member of the senate Human Services Reform Finance and Policy Committee or a designee;</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 xml:space="preserve">(3) </w:t>
      </w:r>
      <w:proofErr w:type="gramStart"/>
      <w:r w:rsidRPr="00EB54D2">
        <w:rPr>
          <w:rFonts w:ascii="Times New Roman" w:hAnsi="Times New Roman" w:cs="Times New Roman"/>
          <w:sz w:val="25"/>
          <w:szCs w:val="25"/>
          <w:u w:val="single"/>
        </w:rPr>
        <w:t>the</w:t>
      </w:r>
      <w:proofErr w:type="gramEnd"/>
      <w:r w:rsidRPr="00EB54D2">
        <w:rPr>
          <w:rFonts w:ascii="Times New Roman" w:hAnsi="Times New Roman" w:cs="Times New Roman"/>
          <w:sz w:val="25"/>
          <w:szCs w:val="25"/>
          <w:u w:val="single"/>
        </w:rPr>
        <w:t xml:space="preserve"> chair of the house of representatives Health and Human Services Finance Committee or a designee;</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 xml:space="preserve">(4) </w:t>
      </w:r>
      <w:proofErr w:type="gramStart"/>
      <w:r w:rsidRPr="00EB54D2">
        <w:rPr>
          <w:rFonts w:ascii="Times New Roman" w:hAnsi="Times New Roman" w:cs="Times New Roman"/>
          <w:sz w:val="25"/>
          <w:szCs w:val="25"/>
          <w:u w:val="single"/>
        </w:rPr>
        <w:t>the</w:t>
      </w:r>
      <w:proofErr w:type="gramEnd"/>
      <w:r w:rsidRPr="00EB54D2">
        <w:rPr>
          <w:rFonts w:ascii="Times New Roman" w:hAnsi="Times New Roman" w:cs="Times New Roman"/>
          <w:sz w:val="25"/>
          <w:szCs w:val="25"/>
          <w:u w:val="single"/>
        </w:rPr>
        <w:t xml:space="preserve"> ranking minority member of the house of representatives Health and Human Services Finance Committee or a designee;</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 xml:space="preserve">(5) </w:t>
      </w:r>
      <w:proofErr w:type="gramStart"/>
      <w:r w:rsidRPr="00EB54D2">
        <w:rPr>
          <w:rFonts w:ascii="Times New Roman" w:hAnsi="Times New Roman" w:cs="Times New Roman"/>
          <w:sz w:val="25"/>
          <w:szCs w:val="25"/>
          <w:u w:val="single"/>
        </w:rPr>
        <w:t>the</w:t>
      </w:r>
      <w:proofErr w:type="gramEnd"/>
      <w:r w:rsidRPr="00EB54D2">
        <w:rPr>
          <w:rFonts w:ascii="Times New Roman" w:hAnsi="Times New Roman" w:cs="Times New Roman"/>
          <w:sz w:val="25"/>
          <w:szCs w:val="25"/>
          <w:u w:val="single"/>
        </w:rPr>
        <w:t xml:space="preserve"> commissioner of human services or a designee;</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 xml:space="preserve">(6) </w:t>
      </w:r>
      <w:proofErr w:type="gramStart"/>
      <w:r w:rsidRPr="00EB54D2">
        <w:rPr>
          <w:rFonts w:ascii="Times New Roman" w:hAnsi="Times New Roman" w:cs="Times New Roman"/>
          <w:sz w:val="25"/>
          <w:szCs w:val="25"/>
          <w:u w:val="single"/>
        </w:rPr>
        <w:t>the</w:t>
      </w:r>
      <w:proofErr w:type="gramEnd"/>
      <w:r w:rsidRPr="00EB54D2">
        <w:rPr>
          <w:rFonts w:ascii="Times New Roman" w:hAnsi="Times New Roman" w:cs="Times New Roman"/>
          <w:sz w:val="25"/>
          <w:szCs w:val="25"/>
          <w:u w:val="single"/>
        </w:rPr>
        <w:t xml:space="preserve"> commissioner of health or a designee;</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 xml:space="preserve">(7) </w:t>
      </w:r>
      <w:proofErr w:type="gramStart"/>
      <w:r w:rsidRPr="00EB54D2">
        <w:rPr>
          <w:rFonts w:ascii="Times New Roman" w:hAnsi="Times New Roman" w:cs="Times New Roman"/>
          <w:sz w:val="25"/>
          <w:szCs w:val="25"/>
          <w:u w:val="single"/>
        </w:rPr>
        <w:t>one</w:t>
      </w:r>
      <w:proofErr w:type="gramEnd"/>
      <w:r w:rsidRPr="00EB54D2">
        <w:rPr>
          <w:rFonts w:ascii="Times New Roman" w:hAnsi="Times New Roman" w:cs="Times New Roman"/>
          <w:sz w:val="25"/>
          <w:szCs w:val="25"/>
          <w:u w:val="single"/>
        </w:rPr>
        <w:t xml:space="preserve"> representative appointed by the Professional Home Care Coalition;</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 xml:space="preserve">(8) </w:t>
      </w:r>
      <w:proofErr w:type="gramStart"/>
      <w:r w:rsidRPr="00EB54D2">
        <w:rPr>
          <w:rFonts w:ascii="Times New Roman" w:hAnsi="Times New Roman" w:cs="Times New Roman"/>
          <w:sz w:val="25"/>
          <w:szCs w:val="25"/>
          <w:u w:val="single"/>
        </w:rPr>
        <w:t>one</w:t>
      </w:r>
      <w:proofErr w:type="gramEnd"/>
      <w:r w:rsidRPr="00EB54D2">
        <w:rPr>
          <w:rFonts w:ascii="Times New Roman" w:hAnsi="Times New Roman" w:cs="Times New Roman"/>
          <w:sz w:val="25"/>
          <w:szCs w:val="25"/>
          <w:u w:val="single"/>
        </w:rPr>
        <w:t xml:space="preserve"> representative appointed by the Minnesota Home Care Association;</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 xml:space="preserve">(9) </w:t>
      </w:r>
      <w:proofErr w:type="gramStart"/>
      <w:r w:rsidRPr="00EB54D2">
        <w:rPr>
          <w:rFonts w:ascii="Times New Roman" w:hAnsi="Times New Roman" w:cs="Times New Roman"/>
          <w:sz w:val="25"/>
          <w:szCs w:val="25"/>
          <w:u w:val="single"/>
        </w:rPr>
        <w:t>one</w:t>
      </w:r>
      <w:proofErr w:type="gramEnd"/>
      <w:r w:rsidRPr="00EB54D2">
        <w:rPr>
          <w:rFonts w:ascii="Times New Roman" w:hAnsi="Times New Roman" w:cs="Times New Roman"/>
          <w:sz w:val="25"/>
          <w:szCs w:val="25"/>
          <w:u w:val="single"/>
        </w:rPr>
        <w:t xml:space="preserve"> representative appointed by the Minnesota Board of Nursing;</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 xml:space="preserve">(10) </w:t>
      </w:r>
      <w:proofErr w:type="gramStart"/>
      <w:r w:rsidRPr="00EB54D2">
        <w:rPr>
          <w:rFonts w:ascii="Times New Roman" w:hAnsi="Times New Roman" w:cs="Times New Roman"/>
          <w:sz w:val="25"/>
          <w:szCs w:val="25"/>
          <w:u w:val="single"/>
        </w:rPr>
        <w:t>one</w:t>
      </w:r>
      <w:proofErr w:type="gramEnd"/>
      <w:r w:rsidRPr="00EB54D2">
        <w:rPr>
          <w:rFonts w:ascii="Times New Roman" w:hAnsi="Times New Roman" w:cs="Times New Roman"/>
          <w:sz w:val="25"/>
          <w:szCs w:val="25"/>
          <w:u w:val="single"/>
        </w:rPr>
        <w:t xml:space="preserve"> representative appointed by the Minnesota Nurses Association;</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 xml:space="preserve">(11) </w:t>
      </w:r>
      <w:proofErr w:type="gramStart"/>
      <w:r w:rsidRPr="00EB54D2">
        <w:rPr>
          <w:rFonts w:ascii="Times New Roman" w:hAnsi="Times New Roman" w:cs="Times New Roman"/>
          <w:sz w:val="25"/>
          <w:szCs w:val="25"/>
          <w:u w:val="single"/>
        </w:rPr>
        <w:t>one</w:t>
      </w:r>
      <w:proofErr w:type="gramEnd"/>
      <w:r w:rsidRPr="00EB54D2">
        <w:rPr>
          <w:rFonts w:ascii="Times New Roman" w:hAnsi="Times New Roman" w:cs="Times New Roman"/>
          <w:sz w:val="25"/>
          <w:szCs w:val="25"/>
          <w:u w:val="single"/>
        </w:rPr>
        <w:t xml:space="preserve"> representative appointed by the Minnesota Licensed Practical Nurses Association;</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 xml:space="preserve">(12) </w:t>
      </w:r>
      <w:proofErr w:type="gramStart"/>
      <w:r w:rsidRPr="00EB54D2">
        <w:rPr>
          <w:rFonts w:ascii="Times New Roman" w:hAnsi="Times New Roman" w:cs="Times New Roman"/>
          <w:sz w:val="25"/>
          <w:szCs w:val="25"/>
          <w:u w:val="single"/>
        </w:rPr>
        <w:t>one</w:t>
      </w:r>
      <w:proofErr w:type="gramEnd"/>
      <w:r w:rsidRPr="00EB54D2">
        <w:rPr>
          <w:rFonts w:ascii="Times New Roman" w:hAnsi="Times New Roman" w:cs="Times New Roman"/>
          <w:sz w:val="25"/>
          <w:szCs w:val="25"/>
          <w:u w:val="single"/>
        </w:rPr>
        <w:t xml:space="preserve"> representative appointed by the Minnesota Society of Medical Assistants;</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(13) one client who receives regular home care nursing services and is covered by medical assistance appointed by the commissioner of human services after consulting with the appointing authorities identified in clauses (7) to (12); and</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lastRenderedPageBreak/>
        <w:t xml:space="preserve">(14) </w:t>
      </w:r>
      <w:proofErr w:type="gramStart"/>
      <w:r w:rsidRPr="00EB54D2">
        <w:rPr>
          <w:rFonts w:ascii="Times New Roman" w:hAnsi="Times New Roman" w:cs="Times New Roman"/>
          <w:sz w:val="25"/>
          <w:szCs w:val="25"/>
          <w:u w:val="single"/>
        </w:rPr>
        <w:t>one</w:t>
      </w:r>
      <w:proofErr w:type="gramEnd"/>
      <w:r w:rsidRPr="00EB54D2">
        <w:rPr>
          <w:rFonts w:ascii="Times New Roman" w:hAnsi="Times New Roman" w:cs="Times New Roman"/>
          <w:sz w:val="25"/>
          <w:szCs w:val="25"/>
          <w:u w:val="single"/>
        </w:rPr>
        <w:t xml:space="preserve"> assessor appointed by the commissioner of human services. The assessor must be certified under Minnesota Statutes, section 256B.0911, and must be a registered nurse.</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(b) The appointing authorities must appoint members by August 1, 2017.</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(c) The convening authorities shall convene the first meeting of the working group no later than August 15, 2017, and caucus staff shall provide support and meeting space for the working group. The Department of Health and the Department of Human Services shall provide technical assistance to the working group by providing existing data and analysis documenting the current and projected workforce shortages in the area of regular home care nursing. The home care and assisted living program advisory council established under Minnesota Statutes, section 144A.4799, shall provide advice and recommendations to the working group. Working group members shall serve without compensation and shall not be reimbursed for expenses.</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(d) The working group shall:</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(1) quantify the number of low-complexity regular home care nursing hours that are authorized but not provided to clients covered by medical assistance, due to the shortage of registered nurses and licensed practical nurses available to provide these home care services;</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(2) quantify the current and projected workforce shortages of registered nurses and licensed practical nurses available to provide low-complexity regular home care nursing services to clients, especially clients covered by medical assistance;</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(3) develop recommendations for actions to take in the next two years to address the regular home care nursing workforce shortage, including identifying other health care professionals who may be able to provide low-complexity regular home care nursing services with additional training; what additional training may be necessary for these health care professionals; and how to address scope of practice and licensing issues;</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(4) compile reimbursement rates for regular home care nursing from other states and determine Minnesota's national ranking with respect to reimbursement for regular home care nursing;</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(5) determine whether reimbursement rates for regular home care nursing fully reimburse providers for the cost of providing the service and whether the discrepancy, if any, between rates and costs contributes to lack of access to regular home care nursing; and</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(6) by January 15, 2018, report on the findings and recommendations of the working group to the chairs and ranking minority members of the legislative committees with jurisdiction over health and human services policy and finance. The working group's report shall include draft legislation.</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(e) The working group shall elect a chair from among its members at its first meeting.</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(f) The meetings of the working group shall be open to the public.</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lastRenderedPageBreak/>
        <w:t>(g) This section expires January 16, 2018, or the day after submitting the report required by this section, whichever is earlier.</w:t>
      </w:r>
    </w:p>
    <w:p w:rsidR="00EB54D2" w:rsidRPr="00EB54D2" w:rsidRDefault="00EB54D2" w:rsidP="00EB54D2">
      <w:pPr>
        <w:rPr>
          <w:rFonts w:ascii="Times New Roman" w:hAnsi="Times New Roman" w:cs="Times New Roman"/>
          <w:b/>
          <w:sz w:val="25"/>
          <w:szCs w:val="25"/>
          <w:u w:val="single"/>
        </w:rPr>
      </w:pPr>
      <w:r w:rsidRPr="00EB54D2">
        <w:rPr>
          <w:rFonts w:ascii="Times New Roman" w:hAnsi="Times New Roman" w:cs="Times New Roman"/>
          <w:b/>
          <w:sz w:val="25"/>
          <w:szCs w:val="25"/>
          <w:u w:val="single"/>
        </w:rPr>
        <w:t xml:space="preserve">EFFECTIVE DATE. </w:t>
      </w:r>
    </w:p>
    <w:p w:rsidR="00EB54D2" w:rsidRPr="00EB54D2" w:rsidRDefault="00EB54D2" w:rsidP="00EB54D2">
      <w:pPr>
        <w:rPr>
          <w:rFonts w:ascii="Times New Roman" w:hAnsi="Times New Roman" w:cs="Times New Roman"/>
          <w:sz w:val="25"/>
          <w:szCs w:val="25"/>
          <w:u w:val="single"/>
        </w:rPr>
      </w:pPr>
      <w:r w:rsidRPr="00EB54D2">
        <w:rPr>
          <w:rFonts w:ascii="Times New Roman" w:hAnsi="Times New Roman" w:cs="Times New Roman"/>
          <w:sz w:val="25"/>
          <w:szCs w:val="25"/>
          <w:u w:val="single"/>
        </w:rPr>
        <w:t>This section is effective the day following final enactment.</w:t>
      </w:r>
    </w:p>
    <w:p w:rsidR="00EB54D2" w:rsidRPr="00DD0341" w:rsidRDefault="00EB54D2"/>
    <w:sectPr w:rsidR="00EB54D2" w:rsidRPr="00DD0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51"/>
    <w:rsid w:val="0027447A"/>
    <w:rsid w:val="006C4B16"/>
    <w:rsid w:val="007D4A51"/>
    <w:rsid w:val="00DD0341"/>
    <w:rsid w:val="00EB5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A4F56-44DD-4FB4-93F2-18407C08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A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A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550524">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97597335">
          <w:marLeft w:val="0"/>
          <w:marRight w:val="0"/>
          <w:marTop w:val="0"/>
          <w:marBottom w:val="0"/>
          <w:divBdr>
            <w:top w:val="none" w:sz="0" w:space="0" w:color="auto"/>
            <w:left w:val="none" w:sz="0" w:space="0" w:color="auto"/>
            <w:bottom w:val="single" w:sz="6" w:space="9" w:color="C8C8C8"/>
            <w:right w:val="none" w:sz="0" w:space="0" w:color="auto"/>
          </w:divBdr>
          <w:divsChild>
            <w:div w:id="1712221183">
              <w:marLeft w:val="0"/>
              <w:marRight w:val="0"/>
              <w:marTop w:val="0"/>
              <w:marBottom w:val="0"/>
              <w:divBdr>
                <w:top w:val="none" w:sz="0" w:space="0" w:color="auto"/>
                <w:left w:val="none" w:sz="0" w:space="0" w:color="auto"/>
                <w:bottom w:val="none" w:sz="0" w:space="0" w:color="auto"/>
                <w:right w:val="none" w:sz="0" w:space="0" w:color="auto"/>
              </w:divBdr>
            </w:div>
            <w:div w:id="1001085255">
              <w:marLeft w:val="0"/>
              <w:marRight w:val="0"/>
              <w:marTop w:val="0"/>
              <w:marBottom w:val="0"/>
              <w:divBdr>
                <w:top w:val="none" w:sz="0" w:space="0" w:color="auto"/>
                <w:left w:val="none" w:sz="0" w:space="0" w:color="auto"/>
                <w:bottom w:val="none" w:sz="0" w:space="0" w:color="auto"/>
                <w:right w:val="none" w:sz="0" w:space="0" w:color="auto"/>
              </w:divBdr>
            </w:div>
            <w:div w:id="859316505">
              <w:marLeft w:val="0"/>
              <w:marRight w:val="0"/>
              <w:marTop w:val="0"/>
              <w:marBottom w:val="0"/>
              <w:divBdr>
                <w:top w:val="none" w:sz="0" w:space="0" w:color="auto"/>
                <w:left w:val="none" w:sz="0" w:space="0" w:color="auto"/>
                <w:bottom w:val="none" w:sz="0" w:space="0" w:color="auto"/>
                <w:right w:val="none" w:sz="0" w:space="0" w:color="auto"/>
              </w:divBdr>
              <w:divsChild>
                <w:div w:id="15337995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visor.mn.gov/laws/?doctype=Chapter&amp;id=6&amp;year=2017&amp;typ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2</cp:revision>
  <cp:lastPrinted>2017-12-29T19:16:00Z</cp:lastPrinted>
  <dcterms:created xsi:type="dcterms:W3CDTF">2018-01-03T18:13:00Z</dcterms:created>
  <dcterms:modified xsi:type="dcterms:W3CDTF">2018-01-03T18:13:00Z</dcterms:modified>
</cp:coreProperties>
</file>