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6C04D6">
        <w:t>3253</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6C04D6">
        <w:rPr>
          <w:bCs/>
        </w:rPr>
        <w:t>March 6, 2018</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6C04D6">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6C04D6">
        <w:rPr>
          <w:bCs/>
        </w:rPr>
        <w:t>Franson</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6C04D6">
        <w:rPr>
          <w:bCs/>
        </w:rPr>
        <w:t>Positive Support Rule Child Care Exemption</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D14C6F">
        <w:rPr>
          <w:bCs/>
        </w:rPr>
        <w:t>Sarah Sunderman</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60786"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1043D2" w:rsidRDefault="006C04D6" w:rsidP="001043D2">
      <w:pPr>
        <w:tabs>
          <w:tab w:val="left" w:pos="-360"/>
          <w:tab w:val="left" w:pos="0"/>
          <w:tab w:val="left" w:pos="1080"/>
        </w:tabs>
        <w:spacing w:before="100" w:beforeAutospacing="1" w:after="100" w:afterAutospacing="1"/>
        <w:ind w:left="1080" w:right="1080"/>
      </w:pPr>
      <w:r>
        <w:t>The positive support strategies and restrictive interventions rules (positive supports rule, “PSR”), Minnesota Rules, chapter 9544, apply to home and community based services and all DHS licensed entities serving persons with developmental disabilities or related conditions, including child care centers and licensed family</w:t>
      </w:r>
      <w:r w:rsidR="001043D2">
        <w:t xml:space="preserve"> and group family</w:t>
      </w:r>
      <w:r>
        <w:t xml:space="preserve"> child care programs. The PSR became effective in August 2015, after a federal class action lawsuit and settlement agreement relating to a DHS facility, which, along with section 245.8251, required DHS to modernize certain practices across its licensed entities. </w:t>
      </w:r>
      <w:r w:rsidR="001043D2">
        <w:t>The PSR prohibits certain practices, requires additional training, and establishes additional administrative procedures and policies.</w:t>
      </w:r>
    </w:p>
    <w:p w:rsidR="001043D2" w:rsidRDefault="001043D2">
      <w:pPr>
        <w:tabs>
          <w:tab w:val="left" w:pos="-360"/>
          <w:tab w:val="left" w:pos="0"/>
          <w:tab w:val="left" w:pos="1080"/>
        </w:tabs>
        <w:spacing w:before="100" w:beforeAutospacing="1" w:after="100" w:afterAutospacing="1"/>
        <w:ind w:left="1080" w:right="1080"/>
      </w:pPr>
      <w:r>
        <w:t>This bill, if enacted, would exempt licensed child care programs from the PSR requirements, while requiring compliance with individualized education programs and child care plans and prohibiting certain procedures.</w:t>
      </w:r>
    </w:p>
    <w:tbl>
      <w:tblPr>
        <w:tblW w:w="10296" w:type="dxa"/>
        <w:tblCellMar>
          <w:left w:w="58" w:type="dxa"/>
          <w:right w:w="58" w:type="dxa"/>
        </w:tblCellMar>
        <w:tblLook w:val="0000" w:firstRow="0" w:lastRow="0" w:firstColumn="0" w:lastColumn="0" w:noHBand="0" w:noVBand="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rsidP="00EE5435">
            <w:pPr>
              <w:pStyle w:val="Sectionnumber"/>
              <w:spacing w:before="0" w:beforeAutospacing="0" w:after="120" w:afterAutospacing="0"/>
            </w:pPr>
          </w:p>
        </w:tc>
        <w:tc>
          <w:tcPr>
            <w:tcW w:w="9101" w:type="dxa"/>
          </w:tcPr>
          <w:p w:rsidR="002B114A" w:rsidRPr="006C04D6" w:rsidRDefault="006C04D6" w:rsidP="00857AB1">
            <w:pPr>
              <w:pStyle w:val="Sectionnumber"/>
              <w:numPr>
                <w:ilvl w:val="0"/>
                <w:numId w:val="0"/>
              </w:numPr>
              <w:spacing w:before="0" w:beforeAutospacing="0" w:after="120" w:afterAutospacing="0"/>
              <w:rPr>
                <w:b w:val="0"/>
              </w:rPr>
            </w:pPr>
            <w:r w:rsidRPr="006C04D6">
              <w:rPr>
                <w:bCs/>
              </w:rPr>
              <w:t>Rules governing the use of positive sup</w:t>
            </w:r>
            <w:r>
              <w:rPr>
                <w:bCs/>
              </w:rPr>
              <w:t>port strategies and restrictive</w:t>
            </w:r>
            <w:r w:rsidRPr="006C04D6">
              <w:rPr>
                <w:bCs/>
              </w:rPr>
              <w:t xml:space="preserve"> interventions.</w:t>
            </w:r>
            <w:r>
              <w:rPr>
                <w:bCs/>
              </w:rPr>
              <w:t xml:space="preserve"> </w:t>
            </w:r>
            <w:r>
              <w:rPr>
                <w:b w:val="0"/>
                <w:bCs/>
              </w:rPr>
              <w:t xml:space="preserve">Amends § </w:t>
            </w:r>
            <w:r w:rsidRPr="006C04D6">
              <w:rPr>
                <w:b w:val="0"/>
                <w:bCs/>
              </w:rPr>
              <w:t>245.8251, subd</w:t>
            </w:r>
            <w:r>
              <w:rPr>
                <w:b w:val="0"/>
                <w:bCs/>
              </w:rPr>
              <w:t>.</w:t>
            </w:r>
            <w:r w:rsidRPr="006C04D6">
              <w:rPr>
                <w:b w:val="0"/>
                <w:bCs/>
              </w:rPr>
              <w:t xml:space="preserve"> 1</w:t>
            </w:r>
            <w:r>
              <w:rPr>
                <w:b w:val="0"/>
                <w:bCs/>
              </w:rPr>
              <w:t xml:space="preserve">. Exempts child care providers from the positive support rules, with reference to proposed section </w:t>
            </w:r>
            <w:r w:rsidRPr="006C04D6">
              <w:rPr>
                <w:b w:val="0"/>
                <w:bCs/>
              </w:rPr>
              <w:t>245A.23</w:t>
            </w:r>
            <w:r>
              <w:rPr>
                <w:b w:val="0"/>
                <w:bCs/>
              </w:rPr>
              <w:t>.</w:t>
            </w:r>
          </w:p>
        </w:tc>
      </w:tr>
      <w:tr w:rsidR="006C04D6">
        <w:tc>
          <w:tcPr>
            <w:tcW w:w="1195" w:type="dxa"/>
            <w:tcMar>
              <w:right w:w="43" w:type="dxa"/>
            </w:tcMar>
          </w:tcPr>
          <w:p w:rsidR="006C04D6" w:rsidRDefault="006C04D6" w:rsidP="00EE5435">
            <w:pPr>
              <w:pStyle w:val="Sectionnumber"/>
              <w:spacing w:before="0" w:beforeAutospacing="0" w:after="120" w:afterAutospacing="0"/>
            </w:pPr>
          </w:p>
        </w:tc>
        <w:tc>
          <w:tcPr>
            <w:tcW w:w="9101" w:type="dxa"/>
          </w:tcPr>
          <w:p w:rsidR="006C04D6" w:rsidRDefault="006C04D6" w:rsidP="00857AB1">
            <w:pPr>
              <w:pStyle w:val="Sectionnumber"/>
              <w:numPr>
                <w:ilvl w:val="0"/>
                <w:numId w:val="0"/>
              </w:numPr>
              <w:spacing w:before="0" w:beforeAutospacing="0" w:after="120" w:afterAutospacing="0"/>
              <w:rPr>
                <w:b w:val="0"/>
                <w:bCs/>
              </w:rPr>
            </w:pPr>
            <w:r>
              <w:rPr>
                <w:bCs/>
              </w:rPr>
              <w:t xml:space="preserve">Positive support strategies; child care. </w:t>
            </w:r>
            <w:r>
              <w:rPr>
                <w:b w:val="0"/>
                <w:bCs/>
              </w:rPr>
              <w:t xml:space="preserve">Proposes coding for § </w:t>
            </w:r>
            <w:r w:rsidRPr="006C04D6">
              <w:rPr>
                <w:b w:val="0"/>
                <w:bCs/>
              </w:rPr>
              <w:t>245A.23</w:t>
            </w:r>
            <w:r>
              <w:rPr>
                <w:b w:val="0"/>
                <w:bCs/>
              </w:rPr>
              <w:t>. Establishes exemption from</w:t>
            </w:r>
            <w:r w:rsidR="001043D2">
              <w:rPr>
                <w:b w:val="0"/>
                <w:bCs/>
              </w:rPr>
              <w:t xml:space="preserve"> positive support rule</w:t>
            </w:r>
            <w:r>
              <w:rPr>
                <w:b w:val="0"/>
                <w:bCs/>
              </w:rPr>
              <w:t xml:space="preserve"> for p</w:t>
            </w:r>
            <w:r w:rsidRPr="006C04D6">
              <w:rPr>
                <w:b w:val="0"/>
                <w:bCs/>
              </w:rPr>
              <w:t>rograms licensed as family child care or g</w:t>
            </w:r>
            <w:r>
              <w:rPr>
                <w:b w:val="0"/>
                <w:bCs/>
              </w:rPr>
              <w:t>roup family child care</w:t>
            </w:r>
            <w:r w:rsidRPr="006C04D6">
              <w:rPr>
                <w:b w:val="0"/>
                <w:bCs/>
              </w:rPr>
              <w:t xml:space="preserve"> that care for a child with a developmental disability or related condition</w:t>
            </w:r>
            <w:r>
              <w:rPr>
                <w:b w:val="0"/>
                <w:bCs/>
              </w:rPr>
              <w:t xml:space="preserve">; </w:t>
            </w:r>
            <w:r>
              <w:rPr>
                <w:b w:val="0"/>
                <w:bCs/>
              </w:rPr>
              <w:lastRenderedPageBreak/>
              <w:t>requires these programs to comply with a child’s</w:t>
            </w:r>
            <w:r w:rsidRPr="006C04D6">
              <w:rPr>
                <w:b w:val="0"/>
                <w:bCs/>
              </w:rPr>
              <w:t xml:space="preserve"> individualized education program (IEP) developed in accordance</w:t>
            </w:r>
            <w:r w:rsidR="001043D2">
              <w:rPr>
                <w:b w:val="0"/>
                <w:bCs/>
              </w:rPr>
              <w:t xml:space="preserve"> </w:t>
            </w:r>
            <w:r w:rsidRPr="006C04D6">
              <w:rPr>
                <w:b w:val="0"/>
                <w:bCs/>
              </w:rPr>
              <w:t>wit</w:t>
            </w:r>
            <w:r>
              <w:rPr>
                <w:b w:val="0"/>
                <w:bCs/>
              </w:rPr>
              <w:t>h section 125A.08, if one exists</w:t>
            </w:r>
            <w:r w:rsidRPr="006C04D6">
              <w:rPr>
                <w:b w:val="0"/>
                <w:bCs/>
              </w:rPr>
              <w:t>.</w:t>
            </w:r>
          </w:p>
          <w:p w:rsidR="006C04D6" w:rsidRDefault="006C04D6" w:rsidP="00857AB1">
            <w:pPr>
              <w:pStyle w:val="Sectionnumber"/>
              <w:numPr>
                <w:ilvl w:val="0"/>
                <w:numId w:val="0"/>
              </w:numPr>
              <w:spacing w:before="0" w:beforeAutospacing="0" w:after="120" w:afterAutospacing="0"/>
              <w:rPr>
                <w:b w:val="0"/>
                <w:bCs/>
              </w:rPr>
            </w:pPr>
            <w:r>
              <w:rPr>
                <w:b w:val="0"/>
                <w:bCs/>
              </w:rPr>
              <w:t xml:space="preserve">Establishes exemption from </w:t>
            </w:r>
            <w:r w:rsidR="001043D2">
              <w:rPr>
                <w:b w:val="0"/>
                <w:bCs/>
              </w:rPr>
              <w:t>positive support rule for</w:t>
            </w:r>
            <w:r w:rsidRPr="006C04D6">
              <w:rPr>
                <w:b w:val="0"/>
                <w:bCs/>
              </w:rPr>
              <w:t xml:space="preserve"> licensed child care center</w:t>
            </w:r>
            <w:r w:rsidR="001043D2">
              <w:rPr>
                <w:b w:val="0"/>
                <w:bCs/>
              </w:rPr>
              <w:t>s</w:t>
            </w:r>
            <w:r w:rsidRPr="006C04D6">
              <w:rPr>
                <w:b w:val="0"/>
                <w:bCs/>
              </w:rPr>
              <w:t xml:space="preserve"> that</w:t>
            </w:r>
            <w:r w:rsidR="001043D2">
              <w:rPr>
                <w:b w:val="0"/>
                <w:bCs/>
              </w:rPr>
              <w:t xml:space="preserve"> </w:t>
            </w:r>
            <w:r w:rsidRPr="006C04D6">
              <w:rPr>
                <w:b w:val="0"/>
                <w:bCs/>
              </w:rPr>
              <w:t>care</w:t>
            </w:r>
            <w:r w:rsidR="001043D2">
              <w:rPr>
                <w:b w:val="0"/>
                <w:bCs/>
              </w:rPr>
              <w:t xml:space="preserve"> </w:t>
            </w:r>
            <w:r w:rsidRPr="006C04D6">
              <w:rPr>
                <w:b w:val="0"/>
                <w:bCs/>
              </w:rPr>
              <w:t>for a child with a developmental disability or related condition</w:t>
            </w:r>
            <w:r w:rsidR="001043D2">
              <w:rPr>
                <w:b w:val="0"/>
                <w:bCs/>
              </w:rPr>
              <w:t>; requires child care centers</w:t>
            </w:r>
            <w:r w:rsidRPr="006C04D6">
              <w:rPr>
                <w:b w:val="0"/>
                <w:bCs/>
              </w:rPr>
              <w:t xml:space="preserve"> </w:t>
            </w:r>
            <w:r w:rsidR="001043D2">
              <w:rPr>
                <w:b w:val="0"/>
                <w:bCs/>
              </w:rPr>
              <w:t>to</w:t>
            </w:r>
            <w:r w:rsidRPr="006C04D6">
              <w:rPr>
                <w:b w:val="0"/>
                <w:bCs/>
              </w:rPr>
              <w:t xml:space="preserve"> comply with </w:t>
            </w:r>
            <w:r w:rsidR="00AC6DF2">
              <w:rPr>
                <w:b w:val="0"/>
                <w:bCs/>
              </w:rPr>
              <w:t>a child’s</w:t>
            </w:r>
            <w:r w:rsidR="001043D2">
              <w:rPr>
                <w:b w:val="0"/>
                <w:bCs/>
              </w:rPr>
              <w:t xml:space="preserve"> </w:t>
            </w:r>
            <w:r w:rsidRPr="006C04D6">
              <w:rPr>
                <w:b w:val="0"/>
                <w:bCs/>
              </w:rPr>
              <w:t>individual child care program plan under Minnesota Rules, part 9503.0065, subpart 3, if</w:t>
            </w:r>
            <w:r w:rsidR="001043D2">
              <w:rPr>
                <w:b w:val="0"/>
                <w:bCs/>
              </w:rPr>
              <w:t xml:space="preserve"> </w:t>
            </w:r>
            <w:r w:rsidR="00AC6DF2">
              <w:rPr>
                <w:b w:val="0"/>
                <w:bCs/>
              </w:rPr>
              <w:t>one exists</w:t>
            </w:r>
            <w:r w:rsidRPr="006C04D6">
              <w:rPr>
                <w:b w:val="0"/>
                <w:bCs/>
              </w:rPr>
              <w:t>.</w:t>
            </w:r>
          </w:p>
          <w:p w:rsidR="001043D2" w:rsidRPr="001043D2" w:rsidRDefault="001043D2" w:rsidP="00857AB1">
            <w:pPr>
              <w:pStyle w:val="Sectionnumber"/>
              <w:numPr>
                <w:ilvl w:val="0"/>
                <w:numId w:val="0"/>
              </w:numPr>
              <w:spacing w:before="0" w:beforeAutospacing="0" w:after="120" w:afterAutospacing="0"/>
              <w:rPr>
                <w:b w:val="0"/>
                <w:bCs/>
              </w:rPr>
            </w:pPr>
            <w:r>
              <w:rPr>
                <w:b w:val="0"/>
                <w:bCs/>
              </w:rPr>
              <w:t>Specifies that staff at license</w:t>
            </w:r>
            <w:r w:rsidR="00C830C2">
              <w:rPr>
                <w:b w:val="0"/>
                <w:bCs/>
              </w:rPr>
              <w:t>d</w:t>
            </w:r>
            <w:r>
              <w:rPr>
                <w:b w:val="0"/>
                <w:bCs/>
              </w:rPr>
              <w:t xml:space="preserve"> child care programs </w:t>
            </w:r>
            <w:r w:rsidRPr="001043D2">
              <w:rPr>
                <w:b w:val="0"/>
                <w:bCs/>
              </w:rPr>
              <w:t>are prohibited from using</w:t>
            </w:r>
            <w:r>
              <w:rPr>
                <w:b w:val="0"/>
                <w:bCs/>
              </w:rPr>
              <w:t xml:space="preserve"> </w:t>
            </w:r>
            <w:r w:rsidRPr="001043D2">
              <w:rPr>
                <w:b w:val="0"/>
                <w:bCs/>
              </w:rPr>
              <w:t>procedures identified in section 245D.06, subdivision 5</w:t>
            </w:r>
            <w:r w:rsidR="00B01239">
              <w:rPr>
                <w:b w:val="0"/>
                <w:bCs/>
              </w:rPr>
              <w:t>,</w:t>
            </w:r>
            <w:bookmarkStart w:id="0" w:name="_GoBack"/>
            <w:bookmarkEnd w:id="0"/>
            <w:r>
              <w:rPr>
                <w:b w:val="0"/>
                <w:bCs/>
              </w:rPr>
              <w:t xml:space="preserve"> w</w:t>
            </w:r>
            <w:r w:rsidRPr="001043D2">
              <w:rPr>
                <w:b w:val="0"/>
                <w:bCs/>
              </w:rPr>
              <w:t>hen providing services to a child with a developmental disability or a related</w:t>
            </w:r>
            <w:r>
              <w:rPr>
                <w:b w:val="0"/>
                <w:bCs/>
              </w:rPr>
              <w:t xml:space="preserve"> </w:t>
            </w:r>
            <w:r w:rsidRPr="001043D2">
              <w:rPr>
                <w:b w:val="0"/>
                <w:bCs/>
              </w:rPr>
              <w:t>condition</w:t>
            </w:r>
            <w:r>
              <w:rPr>
                <w:b w:val="0"/>
                <w:bCs/>
              </w:rPr>
              <w:t xml:space="preserve">. These procedures include the use of </w:t>
            </w:r>
            <w:r w:rsidRPr="001043D2">
              <w:rPr>
                <w:b w:val="0"/>
                <w:bCs/>
              </w:rPr>
              <w:t>chemical restraints, mechanical restraints, manual restraints, time out, seclusion, or any other aversive or deprivation procedur</w:t>
            </w:r>
            <w:r>
              <w:rPr>
                <w:b w:val="0"/>
                <w:bCs/>
              </w:rPr>
              <w:t>e</w:t>
            </w:r>
            <w:r w:rsidRPr="001043D2">
              <w:rPr>
                <w:b w:val="0"/>
                <w:bCs/>
              </w:rPr>
              <w:t>.</w:t>
            </w:r>
          </w:p>
        </w:tc>
      </w:tr>
    </w:tbl>
    <w:p w:rsidR="002B114A" w:rsidRDefault="002B114A">
      <w:pPr>
        <w:pStyle w:val="Sectionnumber"/>
        <w:sectPr w:rsidR="002B114A">
          <w:headerReference w:type="default" r:id="rId8"/>
          <w:footerReference w:type="default" r:id="rId9"/>
          <w:footerReference w:type="first" r:id="rId10"/>
          <w:type w:val="continuous"/>
          <w:pgSz w:w="12240" w:h="15840" w:code="1"/>
          <w:pgMar w:top="720" w:right="1080" w:bottom="720" w:left="1080" w:header="720" w:footer="432" w:gutter="0"/>
          <w:cols w:space="720"/>
          <w:titlePg/>
        </w:sectPr>
      </w:pPr>
    </w:p>
    <w:p w:rsidR="00AF1245" w:rsidRDefault="00AF1245" w:rsidP="006A57F0">
      <w:pPr>
        <w:spacing w:after="0"/>
      </w:pPr>
    </w:p>
    <w:sectPr w:rsidR="00AF1245" w:rsidSect="00560958">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4D6" w:rsidRDefault="006C04D6">
      <w:pPr>
        <w:spacing w:after="0"/>
      </w:pPr>
      <w:r>
        <w:separator/>
      </w:r>
    </w:p>
  </w:endnote>
  <w:endnote w:type="continuationSeparator" w:id="0">
    <w:p w:rsidR="006C04D6" w:rsidRDefault="006C04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9393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560958" w:rsidRDefault="0002163B"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560958">
      <w:rPr>
        <w:rFonts w:ascii="Arial" w:hAnsi="Arial"/>
      </w:rPr>
      <w:fldChar w:fldCharType="begin"/>
    </w:r>
    <w:r w:rsidR="00560958">
      <w:rPr>
        <w:rFonts w:ascii="Arial" w:hAnsi="Arial"/>
      </w:rPr>
      <w:instrText>ADVANCE \u2</w:instrText>
    </w:r>
    <w:r w:rsidR="00560958">
      <w:rPr>
        <w:rFonts w:ascii="Arial" w:hAnsi="Arial"/>
      </w:rPr>
      <w:fldChar w:fldCharType="end"/>
    </w:r>
    <w:r w:rsidR="00560958" w:rsidRPr="009129D2">
      <w:rPr>
        <w:rFonts w:ascii="Tahoma" w:hAnsi="Tahoma" w:cs="Tahoma"/>
        <w:sz w:val="18"/>
        <w:szCs w:val="18"/>
      </w:rPr>
      <w:t>Research Department</w:t>
    </w:r>
    <w:r w:rsidR="00560958" w:rsidRPr="009129D2">
      <w:rPr>
        <w:rFonts w:ascii="Tahoma" w:hAnsi="Tahoma" w:cs="Tahoma"/>
        <w:sz w:val="18"/>
        <w:szCs w:val="18"/>
      </w:rPr>
      <w:tab/>
      <w:t>Minnesota House of Representatives</w:t>
    </w:r>
    <w:r w:rsidR="00560958" w:rsidRPr="009129D2">
      <w:rPr>
        <w:rFonts w:ascii="Tahoma" w:hAnsi="Tahoma" w:cs="Tahoma"/>
        <w:sz w:val="18"/>
        <w:szCs w:val="18"/>
      </w:rPr>
      <w:tab/>
      <w:t>600 State Office Building</w:t>
    </w:r>
  </w:p>
  <w:p w:rsidR="002B114A" w:rsidRDefault="00560958"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CA62D8">
      <w:rPr>
        <w:noProof/>
        <w:snapToGrid w:val="0"/>
        <w:sz w:val="18"/>
      </w:rPr>
      <w:t>G:\Summaries\2018\3253 Franson.ss.docx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CA62D8">
      <w:rPr>
        <w:noProof/>
        <w:snapToGrid w:val="0"/>
        <w:sz w:val="18"/>
      </w:rPr>
      <w:t>3/6/2018 11:03:00 AM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DA5AA"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2B114A" w:rsidRDefault="0002163B"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2B114A" w:rsidRPr="009129D2">
      <w:rPr>
        <w:rFonts w:ascii="Tahoma" w:hAnsi="Tahoma" w:cs="Tahoma"/>
        <w:sz w:val="18"/>
        <w:szCs w:val="18"/>
      </w:rPr>
      <w:t>Research Department</w:t>
    </w:r>
    <w:r w:rsidR="002B114A" w:rsidRPr="009129D2">
      <w:rPr>
        <w:rFonts w:ascii="Tahoma" w:hAnsi="Tahoma" w:cs="Tahoma"/>
        <w:sz w:val="18"/>
        <w:szCs w:val="18"/>
      </w:rPr>
      <w:tab/>
      <w:t>Minnesota House of Representatives</w:t>
    </w:r>
    <w:r w:rsidR="002B114A" w:rsidRPr="009129D2">
      <w:rPr>
        <w:rFonts w:ascii="Tahoma" w:hAnsi="Tahoma" w:cs="Tahoma"/>
        <w:sz w:val="18"/>
        <w:szCs w:val="18"/>
      </w:rPr>
      <w:tab/>
      <w:t>600 State Office Building</w:t>
    </w:r>
  </w:p>
  <w:p w:rsidR="002B114A" w:rsidRDefault="002B114A" w:rsidP="006A57F0">
    <w:pPr>
      <w:pStyle w:val="Footer"/>
      <w:tabs>
        <w:tab w:val="clear" w:pos="4320"/>
        <w:tab w:val="clear" w:pos="8640"/>
        <w:tab w:val="right" w:pos="1008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CA62D8">
      <w:rPr>
        <w:noProof/>
        <w:snapToGrid w:val="0"/>
        <w:sz w:val="18"/>
      </w:rPr>
      <w:t>G:\Summaries\2018\3253 Franson.ss.docx</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CA62D8">
      <w:rPr>
        <w:noProof/>
        <w:snapToGrid w:val="0"/>
        <w:sz w:val="18"/>
      </w:rPr>
      <w:t>3/6/2018 11:03:00 AM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4D6" w:rsidRDefault="006C04D6">
      <w:pPr>
        <w:spacing w:after="0"/>
      </w:pPr>
      <w:r>
        <w:separator/>
      </w:r>
    </w:p>
  </w:footnote>
  <w:footnote w:type="continuationSeparator" w:id="0">
    <w:p w:rsidR="006C04D6" w:rsidRDefault="006C04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B1" w:rsidRDefault="00857AB1">
    <w:pPr>
      <w:pStyle w:val="Header"/>
    </w:pPr>
    <w:r w:rsidRPr="00857AB1">
      <w:t>H.F. 3253</w:t>
    </w:r>
    <w:r w:rsidRPr="00857AB1">
      <w:tab/>
    </w:r>
    <w:r>
      <w:tab/>
    </w:r>
    <w:r w:rsidRPr="00857AB1">
      <w:t>March 6, 2018</w:t>
    </w:r>
  </w:p>
  <w:p w:rsidR="00857AB1" w:rsidRDefault="00857AB1">
    <w:pPr>
      <w:pStyle w:val="Header"/>
    </w:pPr>
    <w:r w:rsidRPr="00857AB1">
      <w:t>Version:</w:t>
    </w:r>
    <w:r w:rsidRPr="00857AB1">
      <w:tab/>
      <w:t>As introduced</w:t>
    </w:r>
    <w:r>
      <w:tab/>
      <w:t xml:space="preserve">Page </w:t>
    </w:r>
    <w:r>
      <w:fldChar w:fldCharType="begin"/>
    </w:r>
    <w:r>
      <w:instrText xml:space="preserve"> PAGE  \* MERGEFORMAT </w:instrText>
    </w:r>
    <w:r>
      <w:fldChar w:fldCharType="separate"/>
    </w:r>
    <w:r w:rsidR="00CA62D8">
      <w:rPr>
        <w:noProof/>
      </w:rPr>
      <w:t>2</w:t>
    </w:r>
    <w:r>
      <w:fldChar w:fldCharType="end"/>
    </w:r>
  </w:p>
  <w:p w:rsidR="00857AB1" w:rsidRDefault="00857AB1">
    <w:pPr>
      <w:pStyle w:val="Header"/>
    </w:pPr>
  </w:p>
  <w:p w:rsidR="00857AB1" w:rsidRPr="00857AB1" w:rsidRDefault="00857AB1" w:rsidP="00857AB1">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6"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9"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D6"/>
    <w:rsid w:val="00017133"/>
    <w:rsid w:val="0002163B"/>
    <w:rsid w:val="00071484"/>
    <w:rsid w:val="000774FA"/>
    <w:rsid w:val="000A1513"/>
    <w:rsid w:val="001043D2"/>
    <w:rsid w:val="00117C69"/>
    <w:rsid w:val="00162B42"/>
    <w:rsid w:val="0026479C"/>
    <w:rsid w:val="00266735"/>
    <w:rsid w:val="00266B4B"/>
    <w:rsid w:val="0028618B"/>
    <w:rsid w:val="00290C36"/>
    <w:rsid w:val="002B114A"/>
    <w:rsid w:val="0030374E"/>
    <w:rsid w:val="0031102F"/>
    <w:rsid w:val="003160E0"/>
    <w:rsid w:val="003D120D"/>
    <w:rsid w:val="00405797"/>
    <w:rsid w:val="00475268"/>
    <w:rsid w:val="004C51B2"/>
    <w:rsid w:val="00512097"/>
    <w:rsid w:val="00555213"/>
    <w:rsid w:val="00560958"/>
    <w:rsid w:val="005E4BEA"/>
    <w:rsid w:val="00616D28"/>
    <w:rsid w:val="00630E3C"/>
    <w:rsid w:val="006719EA"/>
    <w:rsid w:val="006A57F0"/>
    <w:rsid w:val="006B1887"/>
    <w:rsid w:val="006C04D6"/>
    <w:rsid w:val="006F13AE"/>
    <w:rsid w:val="006F7B30"/>
    <w:rsid w:val="00711F6B"/>
    <w:rsid w:val="00721873"/>
    <w:rsid w:val="0074665F"/>
    <w:rsid w:val="007673C2"/>
    <w:rsid w:val="00784AAC"/>
    <w:rsid w:val="007B116E"/>
    <w:rsid w:val="007C22D8"/>
    <w:rsid w:val="007C5461"/>
    <w:rsid w:val="007F37AD"/>
    <w:rsid w:val="008345F2"/>
    <w:rsid w:val="008424A4"/>
    <w:rsid w:val="00857AB1"/>
    <w:rsid w:val="00904AA6"/>
    <w:rsid w:val="0091055C"/>
    <w:rsid w:val="009129D2"/>
    <w:rsid w:val="0098613B"/>
    <w:rsid w:val="0099298F"/>
    <w:rsid w:val="009B3D82"/>
    <w:rsid w:val="009B799F"/>
    <w:rsid w:val="009D4386"/>
    <w:rsid w:val="009F572B"/>
    <w:rsid w:val="00A22D30"/>
    <w:rsid w:val="00A5364A"/>
    <w:rsid w:val="00A76D6A"/>
    <w:rsid w:val="00A8513B"/>
    <w:rsid w:val="00A96A3C"/>
    <w:rsid w:val="00AA551F"/>
    <w:rsid w:val="00AB6828"/>
    <w:rsid w:val="00AB78BA"/>
    <w:rsid w:val="00AC6DF2"/>
    <w:rsid w:val="00AD17F7"/>
    <w:rsid w:val="00AE465F"/>
    <w:rsid w:val="00AF1245"/>
    <w:rsid w:val="00AF3D8E"/>
    <w:rsid w:val="00B01239"/>
    <w:rsid w:val="00B47BAB"/>
    <w:rsid w:val="00B80D2B"/>
    <w:rsid w:val="00B81146"/>
    <w:rsid w:val="00B911B2"/>
    <w:rsid w:val="00BE5753"/>
    <w:rsid w:val="00BF28E5"/>
    <w:rsid w:val="00C36A5B"/>
    <w:rsid w:val="00C830C2"/>
    <w:rsid w:val="00CA62D8"/>
    <w:rsid w:val="00CB22A1"/>
    <w:rsid w:val="00CC53F6"/>
    <w:rsid w:val="00D14C6F"/>
    <w:rsid w:val="00D53003"/>
    <w:rsid w:val="00D87E86"/>
    <w:rsid w:val="00DB114F"/>
    <w:rsid w:val="00DB5C9E"/>
    <w:rsid w:val="00E154A4"/>
    <w:rsid w:val="00E25632"/>
    <w:rsid w:val="00E45A55"/>
    <w:rsid w:val="00E56020"/>
    <w:rsid w:val="00EC4E16"/>
    <w:rsid w:val="00EE5435"/>
    <w:rsid w:val="00EF6E58"/>
    <w:rsid w:val="00F43E68"/>
    <w:rsid w:val="00F44D8C"/>
    <w:rsid w:val="00F5014C"/>
    <w:rsid w:val="00F609B2"/>
    <w:rsid w:val="00FE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E953EC6-9DAF-4F40-B354-90FF1993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3</TotalTime>
  <Pages>2</Pages>
  <Words>385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Child Care</dc:subject>
  <dc:creator>Sarah Sunderman</dc:creator>
  <cp:keywords>Licensing</cp:keywords>
  <dc:description/>
  <cp:lastModifiedBy>Julie Fastner</cp:lastModifiedBy>
  <cp:revision>7</cp:revision>
  <cp:lastPrinted>2018-03-06T17:03:00Z</cp:lastPrinted>
  <dcterms:created xsi:type="dcterms:W3CDTF">2018-03-06T17:00:00Z</dcterms:created>
  <dcterms:modified xsi:type="dcterms:W3CDTF">2018-03-06T17:03:00Z</dcterms:modified>
  <cp:category>Health and Human Services</cp:category>
</cp:coreProperties>
</file>