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57" w:rsidRDefault="008D0C57" w:rsidP="008D0C57">
      <w:pPr>
        <w:tabs>
          <w:tab w:val="left" w:pos="0"/>
          <w:tab w:val="left" w:pos="1980"/>
          <w:tab w:val="left" w:pos="2340"/>
          <w:tab w:val="left" w:pos="2700"/>
          <w:tab w:val="left" w:pos="3060"/>
        </w:tabs>
        <w:spacing w:after="0"/>
        <w:ind w:right="360"/>
        <w:jc w:val="center"/>
        <w:rPr>
          <w:sz w:val="56"/>
        </w:rPr>
      </w:pPr>
      <w:bookmarkStart w:id="0" w:name="_GoBack"/>
      <w:bookmarkEnd w:id="0"/>
    </w:p>
    <w:p w:rsidR="008D0C57" w:rsidRDefault="008D0C57" w:rsidP="008D0C57">
      <w:pPr>
        <w:tabs>
          <w:tab w:val="left" w:pos="0"/>
          <w:tab w:val="left" w:pos="1980"/>
          <w:tab w:val="left" w:pos="2340"/>
          <w:tab w:val="left" w:pos="2700"/>
          <w:tab w:val="left" w:pos="3060"/>
        </w:tabs>
        <w:spacing w:after="0"/>
        <w:ind w:right="360"/>
        <w:jc w:val="center"/>
        <w:rPr>
          <w:sz w:val="56"/>
        </w:rPr>
      </w:pPr>
      <w:r>
        <w:rPr>
          <w:sz w:val="56"/>
        </w:rPr>
        <w:t>Bill Summary Comparison of</w:t>
      </w:r>
    </w:p>
    <w:p w:rsidR="008D0C57" w:rsidRDefault="008D0C57" w:rsidP="008D0C57">
      <w:pPr>
        <w:tabs>
          <w:tab w:val="left" w:pos="0"/>
          <w:tab w:val="left" w:pos="1980"/>
          <w:tab w:val="left" w:pos="2340"/>
          <w:tab w:val="left" w:pos="2700"/>
          <w:tab w:val="left" w:pos="3060"/>
        </w:tabs>
        <w:ind w:right="360"/>
        <w:jc w:val="center"/>
        <w:rPr>
          <w:sz w:val="56"/>
        </w:rPr>
      </w:pPr>
      <w:r>
        <w:rPr>
          <w:sz w:val="56"/>
        </w:rPr>
        <w:t>Health and Human Services</w:t>
      </w:r>
    </w:p>
    <w:p w:rsidR="008D0C57" w:rsidRDefault="008D0C57" w:rsidP="008D0C57">
      <w:pPr>
        <w:tabs>
          <w:tab w:val="left" w:pos="0"/>
          <w:tab w:val="left" w:pos="1980"/>
          <w:tab w:val="left" w:pos="2340"/>
          <w:tab w:val="left" w:pos="2700"/>
          <w:tab w:val="left" w:pos="3060"/>
        </w:tabs>
        <w:ind w:right="360"/>
        <w:jc w:val="center"/>
        <w:rPr>
          <w:sz w:val="56"/>
        </w:rPr>
      </w:pPr>
    </w:p>
    <w:p w:rsidR="008D0C57" w:rsidRDefault="008D0C57"/>
    <w:tbl>
      <w:tblPr>
        <w:tblW w:w="0" w:type="auto"/>
        <w:tblInd w:w="2448" w:type="dxa"/>
        <w:tblLook w:val="0000" w:firstRow="0" w:lastRow="0" w:firstColumn="0" w:lastColumn="0" w:noHBand="0" w:noVBand="0"/>
      </w:tblPr>
      <w:tblGrid>
        <w:gridCol w:w="7020"/>
        <w:gridCol w:w="7027"/>
      </w:tblGrid>
      <w:tr w:rsidR="008D0C57" w:rsidTr="002D1426">
        <w:tc>
          <w:tcPr>
            <w:tcW w:w="7020" w:type="dxa"/>
          </w:tcPr>
          <w:p w:rsidR="008D0C57" w:rsidRDefault="008D0C57" w:rsidP="005C11FF">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5C11FF">
              <w:rPr>
                <w:sz w:val="40"/>
              </w:rPr>
              <w:t>2414-2</w:t>
            </w:r>
          </w:p>
        </w:tc>
        <w:tc>
          <w:tcPr>
            <w:tcW w:w="7027" w:type="dxa"/>
          </w:tcPr>
          <w:p w:rsidR="008D0C57" w:rsidRDefault="008D0C57" w:rsidP="008E1A7F">
            <w:pPr>
              <w:tabs>
                <w:tab w:val="left" w:pos="0"/>
                <w:tab w:val="left" w:pos="1980"/>
                <w:tab w:val="left" w:pos="2340"/>
                <w:tab w:val="left" w:pos="2700"/>
                <w:tab w:val="left" w:pos="3060"/>
              </w:tabs>
              <w:spacing w:before="100" w:beforeAutospacing="1" w:after="0"/>
              <w:ind w:right="360"/>
              <w:jc w:val="center"/>
              <w:rPr>
                <w:sz w:val="40"/>
              </w:rPr>
            </w:pPr>
            <w:r>
              <w:rPr>
                <w:sz w:val="40"/>
              </w:rPr>
              <w:t xml:space="preserve">Senate File </w:t>
            </w:r>
            <w:r w:rsidR="008E1A7F">
              <w:rPr>
                <w:sz w:val="40"/>
              </w:rPr>
              <w:t>UEH2414-1</w:t>
            </w:r>
          </w:p>
        </w:tc>
      </w:tr>
      <w:tr w:rsidR="008D0C57" w:rsidTr="002D1426">
        <w:tc>
          <w:tcPr>
            <w:tcW w:w="7020" w:type="dxa"/>
          </w:tcPr>
          <w:p w:rsidR="008D0C57" w:rsidRDefault="008D0C57" w:rsidP="005C11FF">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5C11FF">
              <w:rPr>
                <w:sz w:val="48"/>
              </w:rPr>
              <w:t>13</w:t>
            </w:r>
            <w:r>
              <w:rPr>
                <w:sz w:val="48"/>
              </w:rPr>
              <w:t xml:space="preserve">: </w:t>
            </w:r>
            <w:r w:rsidR="005C11FF">
              <w:rPr>
                <w:sz w:val="48"/>
              </w:rPr>
              <w:t>Health Coverage</w:t>
            </w:r>
          </w:p>
        </w:tc>
        <w:tc>
          <w:tcPr>
            <w:tcW w:w="7027" w:type="dxa"/>
          </w:tcPr>
          <w:p w:rsidR="008D0C57" w:rsidRDefault="008D0C57" w:rsidP="00CB46E6">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8E1A7F">
              <w:rPr>
                <w:sz w:val="48"/>
              </w:rPr>
              <w:t>1</w:t>
            </w:r>
            <w:r w:rsidR="00CB46E6">
              <w:rPr>
                <w:sz w:val="48"/>
              </w:rPr>
              <w:t>2</w:t>
            </w:r>
            <w:r>
              <w:rPr>
                <w:sz w:val="48"/>
              </w:rPr>
              <w:t xml:space="preserve">: </w:t>
            </w:r>
            <w:r w:rsidR="008E1A7F">
              <w:rPr>
                <w:sz w:val="48"/>
              </w:rPr>
              <w:t>Miscellaneous</w:t>
            </w:r>
          </w:p>
        </w:tc>
      </w:tr>
    </w:tbl>
    <w:p w:rsidR="008D0C57" w:rsidRDefault="008D0C57" w:rsidP="008D0C57">
      <w:pPr>
        <w:tabs>
          <w:tab w:val="left" w:pos="0"/>
          <w:tab w:val="left" w:pos="1980"/>
          <w:tab w:val="left" w:pos="2340"/>
          <w:tab w:val="left" w:pos="2700"/>
          <w:tab w:val="left" w:pos="3060"/>
        </w:tabs>
        <w:spacing w:after="0"/>
        <w:ind w:right="360"/>
      </w:pPr>
    </w:p>
    <w:p w:rsidR="00965FC5" w:rsidRDefault="00965FC5" w:rsidP="008D0C57">
      <w:pPr>
        <w:tabs>
          <w:tab w:val="left" w:pos="0"/>
          <w:tab w:val="left" w:pos="1980"/>
          <w:tab w:val="left" w:pos="2340"/>
          <w:tab w:val="left" w:pos="2700"/>
          <w:tab w:val="left" w:pos="3060"/>
        </w:tabs>
        <w:spacing w:after="0"/>
        <w:ind w:right="360"/>
      </w:pPr>
    </w:p>
    <w:p w:rsidR="008D0C57" w:rsidRDefault="008D0C57" w:rsidP="008D0C57">
      <w:pPr>
        <w:tabs>
          <w:tab w:val="left" w:pos="0"/>
          <w:tab w:val="left" w:pos="1980"/>
          <w:tab w:val="left" w:pos="2340"/>
          <w:tab w:val="left" w:pos="2700"/>
          <w:tab w:val="left" w:pos="3060"/>
        </w:tabs>
        <w:spacing w:after="0"/>
        <w:ind w:right="360"/>
        <w:jc w:val="center"/>
      </w:pPr>
      <w:r>
        <w:t>Prepared by:</w:t>
      </w:r>
    </w:p>
    <w:p w:rsidR="008D0C57" w:rsidRDefault="008D0C57" w:rsidP="008D0C57">
      <w:pPr>
        <w:tabs>
          <w:tab w:val="left" w:pos="0"/>
          <w:tab w:val="left" w:pos="1980"/>
          <w:tab w:val="left" w:pos="2340"/>
          <w:tab w:val="left" w:pos="2700"/>
          <w:tab w:val="left" w:pos="3060"/>
        </w:tabs>
        <w:ind w:right="360"/>
        <w:jc w:val="center"/>
      </w:pPr>
      <w:r>
        <w:t>House Research and Senate Counsel, Research and Fiscal Analysis</w:t>
      </w:r>
    </w:p>
    <w:p w:rsidR="008D0C57" w:rsidRDefault="00CB46E6" w:rsidP="00CB46E6">
      <w:pPr>
        <w:tabs>
          <w:tab w:val="left" w:pos="2215"/>
          <w:tab w:val="center" w:pos="9360"/>
        </w:tabs>
      </w:pPr>
      <w:r>
        <w:tab/>
      </w:r>
      <w:r>
        <w:tab/>
      </w:r>
      <w:r w:rsidR="005C11FF">
        <w:fldChar w:fldCharType="begin"/>
      </w:r>
      <w:r w:rsidR="005C11FF">
        <w:instrText xml:space="preserve"> DATE  \@ "MMMM d, yyyy"  \* MERGEFORMAT </w:instrText>
      </w:r>
      <w:r w:rsidR="005C11FF">
        <w:fldChar w:fldCharType="separate"/>
      </w:r>
      <w:r w:rsidR="00CF7F39">
        <w:rPr>
          <w:noProof/>
        </w:rPr>
        <w:t>May 6, 2019</w:t>
      </w:r>
      <w:r w:rsidR="005C11FF">
        <w:fldChar w:fldCharType="end"/>
      </w:r>
    </w:p>
    <w:p w:rsidR="00965FC5" w:rsidRDefault="00965FC5" w:rsidP="00965FC5"/>
    <w:p w:rsidR="00965FC5" w:rsidRDefault="00965FC5" w:rsidP="00965FC5"/>
    <w:p w:rsidR="00965FC5" w:rsidRDefault="00965FC5" w:rsidP="00965FC5">
      <w:pPr>
        <w:rPr>
          <w:b/>
        </w:rPr>
      </w:pPr>
    </w:p>
    <w:p w:rsidR="008D0C57" w:rsidRDefault="008D0C57">
      <w:pPr>
        <w:rPr>
          <w:b/>
        </w:rPr>
      </w:pPr>
    </w:p>
    <w:p w:rsidR="008D0C57" w:rsidRDefault="008D0C57" w:rsidP="008D0C57">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8D0C57" w:rsidRDefault="008D0C57" w:rsidP="008D0C57">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8D0C57" w:rsidRDefault="008D0C57">
      <w:pPr>
        <w:rPr>
          <w:b/>
        </w:rPr>
      </w:pPr>
    </w:p>
    <w:p w:rsidR="0022436D" w:rsidRDefault="0022436D">
      <w:pPr>
        <w:rPr>
          <w:b/>
        </w:rPr>
      </w:pPr>
      <w:r>
        <w:rPr>
          <w:b/>
        </w:rPr>
        <w:br w:type="page"/>
      </w:r>
    </w:p>
    <w:tbl>
      <w:tblPr>
        <w:tblW w:w="1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1048"/>
        <w:gridCol w:w="6210"/>
        <w:gridCol w:w="5760"/>
        <w:gridCol w:w="6102"/>
      </w:tblGrid>
      <w:tr w:rsidR="0022436D" w:rsidRPr="0022436D" w:rsidTr="0022436D">
        <w:trPr>
          <w:tblHeader/>
          <w:jc w:val="center"/>
        </w:trPr>
        <w:tc>
          <w:tcPr>
            <w:tcW w:w="1048" w:type="dxa"/>
            <w:tcBorders>
              <w:bottom w:val="single" w:sz="4" w:space="0" w:color="auto"/>
            </w:tcBorders>
            <w:shd w:val="clear" w:color="auto" w:fill="CCCCCC"/>
            <w:tcMar>
              <w:right w:w="43" w:type="dxa"/>
            </w:tcMar>
            <w:vAlign w:val="center"/>
          </w:tcPr>
          <w:p w:rsidR="0022436D" w:rsidRPr="0022436D" w:rsidRDefault="0022436D" w:rsidP="00D355C2">
            <w:pPr>
              <w:pStyle w:val="Sectionnumber"/>
              <w:numPr>
                <w:ilvl w:val="0"/>
                <w:numId w:val="0"/>
              </w:numPr>
              <w:spacing w:before="120" w:beforeAutospacing="0" w:after="120" w:afterAutospacing="0"/>
              <w:rPr>
                <w:szCs w:val="24"/>
              </w:rPr>
            </w:pPr>
            <w:r w:rsidRPr="0022436D">
              <w:rPr>
                <w:szCs w:val="24"/>
              </w:rPr>
              <w:lastRenderedPageBreak/>
              <w:br w:type="page"/>
              <w:t>Section</w:t>
            </w:r>
          </w:p>
        </w:tc>
        <w:tc>
          <w:tcPr>
            <w:tcW w:w="6210" w:type="dxa"/>
            <w:tcBorders>
              <w:bottom w:val="single" w:sz="4" w:space="0" w:color="auto"/>
            </w:tcBorders>
            <w:shd w:val="clear" w:color="auto" w:fill="CCCCCC"/>
            <w:vAlign w:val="center"/>
          </w:tcPr>
          <w:p w:rsidR="0022436D" w:rsidRPr="002A3A41" w:rsidRDefault="0022436D" w:rsidP="005C11FF">
            <w:pPr>
              <w:pStyle w:val="Heading1"/>
              <w:spacing w:before="120" w:after="120"/>
              <w:jc w:val="center"/>
              <w:rPr>
                <w:rFonts w:cs="Times New Roman"/>
                <w:sz w:val="24"/>
                <w:szCs w:val="24"/>
              </w:rPr>
            </w:pPr>
            <w:r w:rsidRPr="002A3A41">
              <w:rPr>
                <w:rFonts w:cs="Times New Roman"/>
                <w:sz w:val="24"/>
                <w:szCs w:val="24"/>
              </w:rPr>
              <w:t xml:space="preserve">Article </w:t>
            </w:r>
            <w:r w:rsidR="005C11FF" w:rsidRPr="002A3A41">
              <w:rPr>
                <w:rFonts w:cs="Times New Roman"/>
                <w:sz w:val="24"/>
                <w:szCs w:val="24"/>
              </w:rPr>
              <w:t>13: Health Coverage</w:t>
            </w:r>
          </w:p>
        </w:tc>
        <w:tc>
          <w:tcPr>
            <w:tcW w:w="5760" w:type="dxa"/>
            <w:tcBorders>
              <w:bottom w:val="single" w:sz="4" w:space="0" w:color="auto"/>
            </w:tcBorders>
            <w:shd w:val="clear" w:color="auto" w:fill="CCCCCC"/>
            <w:vAlign w:val="center"/>
          </w:tcPr>
          <w:p w:rsidR="0022436D" w:rsidRPr="0022436D" w:rsidRDefault="0022436D" w:rsidP="00D355C2">
            <w:pPr>
              <w:pStyle w:val="Sectionnumber"/>
              <w:numPr>
                <w:ilvl w:val="0"/>
                <w:numId w:val="0"/>
              </w:numPr>
              <w:spacing w:before="120" w:beforeAutospacing="0" w:after="120" w:afterAutospacing="0"/>
              <w:rPr>
                <w:bCs/>
                <w:szCs w:val="24"/>
              </w:rPr>
            </w:pPr>
          </w:p>
        </w:tc>
        <w:tc>
          <w:tcPr>
            <w:tcW w:w="6102" w:type="dxa"/>
            <w:tcBorders>
              <w:bottom w:val="single" w:sz="4" w:space="0" w:color="auto"/>
            </w:tcBorders>
            <w:shd w:val="clear" w:color="auto" w:fill="CCCCCC"/>
            <w:vAlign w:val="center"/>
          </w:tcPr>
          <w:p w:rsidR="0022436D" w:rsidRPr="0022436D" w:rsidRDefault="0022436D" w:rsidP="008E1A7F">
            <w:pPr>
              <w:pStyle w:val="Sectionnumber"/>
              <w:numPr>
                <w:ilvl w:val="0"/>
                <w:numId w:val="0"/>
              </w:numPr>
              <w:spacing w:before="120" w:beforeAutospacing="0" w:after="120" w:afterAutospacing="0"/>
              <w:jc w:val="center"/>
              <w:rPr>
                <w:bCs/>
                <w:szCs w:val="24"/>
              </w:rPr>
            </w:pPr>
            <w:r w:rsidRPr="0022436D">
              <w:rPr>
                <w:bCs/>
                <w:szCs w:val="24"/>
              </w:rPr>
              <w:t xml:space="preserve">Article </w:t>
            </w:r>
            <w:r w:rsidR="008E1A7F">
              <w:rPr>
                <w:bCs/>
                <w:szCs w:val="24"/>
              </w:rPr>
              <w:t>12: Miscellaneous</w:t>
            </w: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rPr>
                <w:szCs w:val="24"/>
              </w:rPr>
            </w:pPr>
            <w:r w:rsidRPr="00B23963">
              <w:br w:type="page"/>
            </w: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Loss ratio standards.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Adds </w:t>
            </w:r>
            <w:proofErr w:type="spellStart"/>
            <w:r w:rsidRPr="002A3A41">
              <w:rPr>
                <w:rFonts w:ascii="Times New Roman" w:hAnsi="Times New Roman" w:cs="Times New Roman"/>
              </w:rPr>
              <w:t>subd</w:t>
            </w:r>
            <w:proofErr w:type="spellEnd"/>
            <w:r w:rsidRPr="002A3A41">
              <w:rPr>
                <w:rFonts w:ascii="Times New Roman" w:hAnsi="Times New Roman" w:cs="Times New Roman"/>
              </w:rPr>
              <w:t>. 1</w:t>
            </w:r>
            <w:r w:rsidR="00225538">
              <w:rPr>
                <w:rFonts w:ascii="Times New Roman" w:hAnsi="Times New Roman" w:cs="Times New Roman"/>
              </w:rPr>
              <w:t>a</w:t>
            </w:r>
            <w:r w:rsidRPr="002A3A41">
              <w:rPr>
                <w:rFonts w:ascii="Times New Roman" w:hAnsi="Times New Roman" w:cs="Times New Roman"/>
              </w:rPr>
              <w:t xml:space="preserve"> to § 62A.021. (a) Requires individual health plans to provide benefits to enrollees that equal at least 80 percent of premiums earned.</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(b) Requires small employer health plans to provide benefits to enrollees that equal at least 82 percent of premiums earned.</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(c) Requires health plans issued to large groups to provide benefits to enrollees that equal at least 85 percent of the premiums earned.</w:t>
            </w:r>
          </w:p>
          <w:p w:rsidR="002A3A41" w:rsidRPr="002A3A41" w:rsidRDefault="002A3A41" w:rsidP="002A3A41">
            <w:r w:rsidRPr="002A3A41">
              <w:t>(d) Requires short-term health plans to provide benefits to enrollees that equal at least 80 percent of premiums earned.</w:t>
            </w:r>
          </w:p>
          <w:p w:rsidR="002A3A41" w:rsidRPr="002A3A41" w:rsidRDefault="002A3A41" w:rsidP="002A3A41"/>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(e) Provides information on how to calculate loss ratios for health plans issued by an HMO.</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(f) Requires health carriers to submit evidence of compliance with paragraphs (a) to (d) to the commissioner by June 1 of every year for the previous year.</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(g) Requires the commissioner to review the reports required under paragraph (f) for reasonable, soundness, and compliance with this section. Requires the commissioner to resolve issues in the report with the health carrier, and if they cannot be resolved, to require the carrier to issue an appropriate rebate.</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(h) Provides that a health plan that does not comply with the requirements in paragraphs (a) to (d) is unfair and deceptive and subject to penalties.</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lastRenderedPageBreak/>
              <w:t>(</w:t>
            </w:r>
            <w:proofErr w:type="spellStart"/>
            <w:r w:rsidRPr="002A3A41">
              <w:rPr>
                <w:rFonts w:ascii="Times New Roman" w:hAnsi="Times New Roman" w:cs="Times New Roman"/>
              </w:rPr>
              <w:t>i</w:t>
            </w:r>
            <w:proofErr w:type="spellEnd"/>
            <w:r w:rsidRPr="002A3A41">
              <w:rPr>
                <w:rFonts w:ascii="Times New Roman" w:hAnsi="Times New Roman" w:cs="Times New Roman"/>
              </w:rPr>
              <w:t>) Requires the commissioners of health and commerce to issue a public report on loss ratios every year.</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Rebate.</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Adds </w:t>
            </w:r>
            <w:proofErr w:type="spellStart"/>
            <w:r w:rsidRPr="002A3A41">
              <w:rPr>
                <w:rFonts w:ascii="Times New Roman" w:hAnsi="Times New Roman" w:cs="Times New Roman"/>
              </w:rPr>
              <w:t>subd</w:t>
            </w:r>
            <w:proofErr w:type="spellEnd"/>
            <w:r w:rsidRPr="002A3A41">
              <w:rPr>
                <w:rFonts w:ascii="Times New Roman" w:hAnsi="Times New Roman" w:cs="Times New Roman"/>
              </w:rPr>
              <w:t>. 2a to § 62A.021</w:t>
            </w:r>
            <w:r w:rsidR="00D2673A">
              <w:rPr>
                <w:rFonts w:ascii="Times New Roman" w:hAnsi="Times New Roman" w:cs="Times New Roman"/>
              </w:rPr>
              <w:t>.</w:t>
            </w:r>
            <w:r w:rsidRPr="002A3A41">
              <w:rPr>
                <w:rFonts w:ascii="Times New Roman" w:hAnsi="Times New Roman" w:cs="Times New Roman"/>
              </w:rPr>
              <w:t xml:space="preserve"> (a) Requires a health carrier to issue a rebate to each enrollee if the carrier does not meet the loss ratio requirements in </w:t>
            </w:r>
            <w:r w:rsidR="00D2673A">
              <w:rPr>
                <w:rFonts w:ascii="Times New Roman" w:hAnsi="Times New Roman" w:cs="Times New Roman"/>
              </w:rPr>
              <w:t>subdivision</w:t>
            </w:r>
            <w:r w:rsidRPr="002A3A41">
              <w:rPr>
                <w:rFonts w:ascii="Times New Roman" w:hAnsi="Times New Roman" w:cs="Times New Roman"/>
              </w:rPr>
              <w:t xml:space="preserve"> 1</w:t>
            </w:r>
            <w:r w:rsidR="00D2673A">
              <w:rPr>
                <w:rFonts w:ascii="Times New Roman" w:hAnsi="Times New Roman" w:cs="Times New Roman"/>
              </w:rPr>
              <w:t>a</w:t>
            </w:r>
            <w:r w:rsidRPr="002A3A41">
              <w:rPr>
                <w:rFonts w:ascii="Times New Roman" w:hAnsi="Times New Roman" w:cs="Times New Roman"/>
              </w:rPr>
              <w:t>.</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(b) Provides that the rebate must be the aggregate amount of premiums earned multiplied by the difference between the health carrier’s actual loss ratio and the loss ratio required under </w:t>
            </w:r>
            <w:r w:rsidR="00D2673A">
              <w:rPr>
                <w:rFonts w:ascii="Times New Roman" w:hAnsi="Times New Roman" w:cs="Times New Roman"/>
              </w:rPr>
              <w:t xml:space="preserve">subdivision </w:t>
            </w:r>
            <w:r w:rsidRPr="002A3A41">
              <w:rPr>
                <w:rFonts w:ascii="Times New Roman" w:hAnsi="Times New Roman" w:cs="Times New Roman"/>
              </w:rPr>
              <w:t>1</w:t>
            </w:r>
            <w:r w:rsidR="00D2673A">
              <w:rPr>
                <w:rFonts w:ascii="Times New Roman" w:hAnsi="Times New Roman" w:cs="Times New Roman"/>
              </w:rPr>
              <w:t>a</w:t>
            </w:r>
            <w:r w:rsidRPr="002A3A41">
              <w:rPr>
                <w:rFonts w:ascii="Times New Roman" w:hAnsi="Times New Roman" w:cs="Times New Roman"/>
              </w:rPr>
              <w:t>.</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(c) Requires a health carrier to issue the rebate by August 1 of the year following the year the loss ratio was insufficient.</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(d) Requires the rebate to be in a lump-sum payment or direct deduction to the current plan year’s premium, as appropriate.</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Prohibiting subtractions from loss ratio calculations.</w:t>
            </w:r>
          </w:p>
          <w:p w:rsidR="002A3A41" w:rsidRPr="00D2673A" w:rsidRDefault="002A3A41" w:rsidP="002A3A41">
            <w:pPr>
              <w:pStyle w:val="BodyText"/>
              <w:rPr>
                <w:rFonts w:ascii="Times New Roman" w:hAnsi="Times New Roman" w:cs="Times New Roman"/>
              </w:rPr>
            </w:pPr>
            <w:r w:rsidRPr="002A3A41">
              <w:rPr>
                <w:rFonts w:ascii="Times New Roman" w:hAnsi="Times New Roman" w:cs="Times New Roman"/>
              </w:rPr>
              <w:t xml:space="preserve">Adds </w:t>
            </w:r>
            <w:proofErr w:type="spellStart"/>
            <w:r w:rsidRPr="002A3A41">
              <w:rPr>
                <w:rFonts w:ascii="Times New Roman" w:hAnsi="Times New Roman" w:cs="Times New Roman"/>
              </w:rPr>
              <w:t>subd</w:t>
            </w:r>
            <w:proofErr w:type="spellEnd"/>
            <w:r w:rsidRPr="002A3A41">
              <w:rPr>
                <w:rFonts w:ascii="Times New Roman" w:hAnsi="Times New Roman" w:cs="Times New Roman"/>
              </w:rPr>
              <w:t>. 3a to § 62A.021.</w:t>
            </w:r>
            <w:r w:rsidR="00D2673A">
              <w:rPr>
                <w:rFonts w:ascii="Times New Roman" w:hAnsi="Times New Roman" w:cs="Times New Roman"/>
              </w:rPr>
              <w:t xml:space="preserve"> </w:t>
            </w:r>
            <w:r w:rsidRPr="002A3A41">
              <w:rPr>
                <w:rFonts w:ascii="Times New Roman" w:hAnsi="Times New Roman" w:cs="Times New Roman"/>
              </w:rPr>
              <w:t xml:space="preserve">Prohibits a health carrier from including the following in its loss ratio calculations under section 62A.021, subdivision 1a: (1) reinsurance payments received under section 62E.23; and (2) payments from the commissioner of commerce to health carriers to cover the cost of mandating coverage of treatments for 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 PANDAS, and PANS.</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Required coverage.</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Amends § 62A.25,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2. Requires health plans to provide coverage of reconstructive breast surgery when breast tissue is absent due to </w:t>
            </w:r>
            <w:proofErr w:type="spellStart"/>
            <w:r w:rsidRPr="002A3A41">
              <w:rPr>
                <w:rFonts w:ascii="Times New Roman" w:hAnsi="Times New Roman" w:cs="Times New Roman"/>
              </w:rPr>
              <w:t>ecotodermal</w:t>
            </w:r>
            <w:proofErr w:type="spellEnd"/>
            <w:r w:rsidRPr="002A3A41">
              <w:rPr>
                <w:rFonts w:ascii="Times New Roman" w:hAnsi="Times New Roman" w:cs="Times New Roman"/>
              </w:rPr>
              <w:t xml:space="preserve"> dysplasia. Provides that the commissioner of commerce shall reimburse health carriers for coverage for </w:t>
            </w:r>
            <w:r w:rsidRPr="002A3A41">
              <w:rPr>
                <w:rFonts w:ascii="Times New Roman" w:hAnsi="Times New Roman" w:cs="Times New Roman"/>
              </w:rPr>
              <w:lastRenderedPageBreak/>
              <w:t xml:space="preserve">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 xml:space="preserve"> under this section at the medical assistance rate, and limits reimbursement to coverage that would not have otherwise been provided by the carrier without the requirements of this section. Prohibits a provider from billing an enrollee any amount in excess of the medical assistance rate, but permits the provider to bill the enrollee for the applicable copayment, deductible, or coinsurance.</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Effective date. This section is effective January 1, 2020, and applies to health plans issued on or after that date.</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Required coverage.</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Amends § 62A.28,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1. Requires health plans to provide coverage for prosthetic hair when hair loss is due to 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 xml:space="preserve">. Provides that the commissioner of commerce shall reimburse health carriers for coverage for 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 xml:space="preserve"> under this section at the medical assistance rate, and limits reimbursement to coverage that would not have otherwise been provided by the carrier without the requirements of this section. Prohibits a provider from billing an enrollee any amount in excess of the medical assistance rate, but permits the provider to bill the enrollee for the applicable copayment, deductible, or coinsurance.</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Effective date. This section is effective January 1, 2020, and applies to health plans issued on or after that date.</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Mammograms.</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Adds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4 to § 62A.30. (a) Clarifies that coverage for an annual preventative mammogram screening includes digital breast </w:t>
            </w:r>
            <w:proofErr w:type="spellStart"/>
            <w:r w:rsidRPr="002A3A41">
              <w:rPr>
                <w:rFonts w:ascii="Times New Roman" w:hAnsi="Times New Roman" w:cs="Times New Roman"/>
              </w:rPr>
              <w:t>tomosynthesis</w:t>
            </w:r>
            <w:proofErr w:type="spellEnd"/>
            <w:r w:rsidRPr="002A3A41">
              <w:rPr>
                <w:rFonts w:ascii="Times New Roman" w:hAnsi="Times New Roman" w:cs="Times New Roman"/>
              </w:rPr>
              <w:t xml:space="preserve"> if the enrollee is at risk for breast cancer. This screening is at the option of the enrollee and at no cost to the enrollee.</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lastRenderedPageBreak/>
              <w:t>(</w:t>
            </w:r>
            <w:proofErr w:type="gramStart"/>
            <w:r w:rsidRPr="002A3A41">
              <w:rPr>
                <w:rFonts w:ascii="Times New Roman" w:hAnsi="Times New Roman" w:cs="Times New Roman"/>
              </w:rPr>
              <w:t>b</w:t>
            </w:r>
            <w:proofErr w:type="gramEnd"/>
            <w:r w:rsidRPr="002A3A41">
              <w:rPr>
                <w:rFonts w:ascii="Times New Roman" w:hAnsi="Times New Roman" w:cs="Times New Roman"/>
              </w:rPr>
              <w:t xml:space="preserve">) Defines “digital breast </w:t>
            </w:r>
            <w:proofErr w:type="spellStart"/>
            <w:r w:rsidRPr="002A3A41">
              <w:rPr>
                <w:rFonts w:ascii="Times New Roman" w:hAnsi="Times New Roman" w:cs="Times New Roman"/>
              </w:rPr>
              <w:t>tomosynthesis</w:t>
            </w:r>
            <w:proofErr w:type="spellEnd"/>
            <w:r w:rsidRPr="002A3A41">
              <w:rPr>
                <w:rFonts w:ascii="Times New Roman" w:hAnsi="Times New Roman" w:cs="Times New Roman"/>
              </w:rPr>
              <w:t>” and “at risk for breast cancer”.</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(c) States that this subdivision does not apply to public health care programs under chapter 256B (medical assistance) or 256L (</w:t>
            </w:r>
            <w:proofErr w:type="spellStart"/>
            <w:r w:rsidRPr="002A3A41">
              <w:rPr>
                <w:rFonts w:ascii="Times New Roman" w:hAnsi="Times New Roman" w:cs="Times New Roman"/>
              </w:rPr>
              <w:t>MinnesotaCare</w:t>
            </w:r>
            <w:proofErr w:type="spellEnd"/>
            <w:r w:rsidRPr="002A3A41">
              <w:rPr>
                <w:rFonts w:ascii="Times New Roman" w:hAnsi="Times New Roman" w:cs="Times New Roman"/>
              </w:rPr>
              <w:t>).</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(d) Clarifies that nothing in this subdivision limits the coverage of digital breast </w:t>
            </w:r>
            <w:proofErr w:type="spellStart"/>
            <w:r w:rsidRPr="002A3A41">
              <w:rPr>
                <w:rFonts w:ascii="Times New Roman" w:hAnsi="Times New Roman" w:cs="Times New Roman"/>
              </w:rPr>
              <w:t>tomosynthesis</w:t>
            </w:r>
            <w:proofErr w:type="spellEnd"/>
            <w:r w:rsidRPr="002A3A41">
              <w:rPr>
                <w:rFonts w:ascii="Times New Roman" w:hAnsi="Times New Roman" w:cs="Times New Roman"/>
              </w:rPr>
              <w:t xml:space="preserve"> for health plans in effect prior to January 1, 2020.</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(e) Clarifies that nothing in this subdivision prohibits a health plan from providing coverage for digital breast </w:t>
            </w:r>
            <w:proofErr w:type="spellStart"/>
            <w:r w:rsidRPr="002A3A41">
              <w:rPr>
                <w:rFonts w:ascii="Times New Roman" w:hAnsi="Times New Roman" w:cs="Times New Roman"/>
              </w:rPr>
              <w:t>tomosynthesis</w:t>
            </w:r>
            <w:proofErr w:type="spellEnd"/>
            <w:r w:rsidRPr="002A3A41">
              <w:rPr>
                <w:rFonts w:ascii="Times New Roman" w:hAnsi="Times New Roman" w:cs="Times New Roman"/>
              </w:rPr>
              <w:t xml:space="preserve"> to enrollees who are not at risk for breast cancer.</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Effective date. This section is effective January 1, 2020, and applies to health plans on or after that date.</w:t>
            </w:r>
          </w:p>
        </w:tc>
        <w:tc>
          <w:tcPr>
            <w:tcW w:w="5760" w:type="dxa"/>
            <w:shd w:val="clear" w:color="auto" w:fill="auto"/>
          </w:tcPr>
          <w:p w:rsidR="002A3A41" w:rsidRPr="0022436D" w:rsidRDefault="00117598" w:rsidP="002A3A41">
            <w:pPr>
              <w:pStyle w:val="Sectionnumber"/>
              <w:numPr>
                <w:ilvl w:val="0"/>
                <w:numId w:val="0"/>
              </w:numPr>
              <w:rPr>
                <w:bCs/>
                <w:szCs w:val="24"/>
              </w:rPr>
            </w:pPr>
            <w:r>
              <w:rPr>
                <w:bCs/>
                <w:szCs w:val="24"/>
              </w:rPr>
              <w:lastRenderedPageBreak/>
              <w:t>Identical</w:t>
            </w:r>
          </w:p>
        </w:tc>
        <w:tc>
          <w:tcPr>
            <w:tcW w:w="6102" w:type="dxa"/>
            <w:shd w:val="clear" w:color="auto" w:fill="auto"/>
          </w:tcPr>
          <w:p w:rsidR="008E1A7F" w:rsidRDefault="008E1A7F" w:rsidP="008E1A7F">
            <w:pPr>
              <w:pStyle w:val="NormalWeb"/>
            </w:pPr>
            <w:r>
              <w:rPr>
                <w:rStyle w:val="Strong"/>
              </w:rPr>
              <w:t>Section 1 (62A.30, subdivision 4)</w:t>
            </w:r>
            <w:r>
              <w:t xml:space="preserve"> provides health care coverage for preventive mammogram screening that includes digital breast </w:t>
            </w:r>
            <w:proofErr w:type="spellStart"/>
            <w:r>
              <w:t>tomosynthesis</w:t>
            </w:r>
            <w:proofErr w:type="spellEnd"/>
            <w:r>
              <w:t xml:space="preserve"> (3D) for enrollees who are at risk for breast cancer.  At risk of breast cancer included having a family history; testing positive for BRCA1 or BRCA2; </w:t>
            </w:r>
            <w:r>
              <w:lastRenderedPageBreak/>
              <w:t>having dense breasts; or having a previous diagnosis of breast cancer.</w:t>
            </w:r>
          </w:p>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 xml:space="preserve">Coverage for 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Adds § 62A.3096. </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1. Definitions.</w:t>
            </w:r>
            <w:r w:rsidRPr="002A3A41">
              <w:rPr>
                <w:rFonts w:ascii="Times New Roman" w:hAnsi="Times New Roman" w:cs="Times New Roman"/>
              </w:rPr>
              <w:t xml:space="preserve"> Defines 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2. Coverage.</w:t>
            </w:r>
            <w:r w:rsidRPr="002A3A41">
              <w:rPr>
                <w:rFonts w:ascii="Times New Roman" w:hAnsi="Times New Roman" w:cs="Times New Roman"/>
              </w:rPr>
              <w:t xml:space="preserve"> Requires health plans to provide coverage for 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3. Dental coverage.</w:t>
            </w:r>
            <w:r w:rsidRPr="002A3A41">
              <w:rPr>
                <w:rFonts w:ascii="Times New Roman" w:hAnsi="Times New Roman" w:cs="Times New Roman"/>
              </w:rPr>
              <w:t xml:space="preserve"> (a) Requires health plans to provide coverage for dental treatments, including bone grafts, dental implants, orthodontia, dental prosthodontics, and dental maintenance, when related to 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w:t>
            </w:r>
          </w:p>
          <w:p w:rsidR="002A3A41" w:rsidRPr="002A3A41" w:rsidRDefault="002A3A41" w:rsidP="002A3A41">
            <w:pPr>
              <w:pStyle w:val="SubdText"/>
              <w:rPr>
                <w:rFonts w:ascii="Times New Roman" w:hAnsi="Times New Roman" w:cs="Times New Roman"/>
                <w:b/>
              </w:rPr>
            </w:pPr>
            <w:r w:rsidRPr="002A3A41">
              <w:rPr>
                <w:rFonts w:ascii="Times New Roman" w:hAnsi="Times New Roman" w:cs="Times New Roman"/>
              </w:rPr>
              <w:lastRenderedPageBreak/>
              <w:t>(b) States that if the dental treatment is covered by a dental insurance plan or other health plan, the coverage provided under this section is secondary.</w:t>
            </w:r>
          </w:p>
          <w:p w:rsidR="002A3A41" w:rsidRPr="002A3A41" w:rsidRDefault="002A3A41" w:rsidP="002A3A41">
            <w:pPr>
              <w:pStyle w:val="SubdText"/>
              <w:rPr>
                <w:rStyle w:val="Heading-Inline"/>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4. Reimbursement.</w:t>
            </w:r>
            <w:r w:rsidRPr="002A3A41">
              <w:rPr>
                <w:rFonts w:ascii="Times New Roman" w:hAnsi="Times New Roman" w:cs="Times New Roman"/>
              </w:rPr>
              <w:t xml:space="preserve"> Provides that the commissioner of commerce shall reimburse health carriers for coverage for 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 xml:space="preserve"> under this section at the medical assistance rate, and limits reimbursement to coverage that would not have otherwise been provided by the carrier without the requirements of this section. Prohibits a provider from billing an enrollee any amount in excess of the medical assistance rate, but permits the provider to bill the enrollee for the applicable copayment, deductible, or coinsurance.</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Effective date. This section is effective January 1, 2020, and applies to health plans issued on or after that date.</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Pediatric autoimmune neuropsychiatric disorders associated with streptococcal infections (PANDAS) and pediatric acute-onset neuropsychiatric syndrome (PANS) treatment; coverage.</w:t>
            </w:r>
          </w:p>
          <w:p w:rsidR="002A3A41" w:rsidRPr="002A3A41" w:rsidRDefault="002A3A41" w:rsidP="002A3A41">
            <w:pPr>
              <w:pStyle w:val="Headnote"/>
              <w:rPr>
                <w:rFonts w:ascii="Times New Roman" w:hAnsi="Times New Roman" w:cs="Times New Roman"/>
                <w:b w:val="0"/>
              </w:rPr>
            </w:pPr>
            <w:r w:rsidRPr="002A3A41">
              <w:rPr>
                <w:rFonts w:ascii="Times New Roman" w:hAnsi="Times New Roman" w:cs="Times New Roman"/>
                <w:b w:val="0"/>
              </w:rPr>
              <w:t>Adds § 62A.3097.</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1. Definitions. </w:t>
            </w:r>
            <w:r w:rsidRPr="002A3A41">
              <w:rPr>
                <w:rFonts w:ascii="Times New Roman" w:hAnsi="Times New Roman" w:cs="Times New Roman"/>
              </w:rPr>
              <w:t>Provides definitions for PANDAS and PANS.</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2. Scope of coverage.</w:t>
            </w:r>
            <w:r w:rsidRPr="002A3A41">
              <w:rPr>
                <w:rFonts w:ascii="Times New Roman" w:hAnsi="Times New Roman" w:cs="Times New Roman"/>
              </w:rPr>
              <w:t xml:space="preserve"> Applies this section to all health plans that provide coverage to Minnesota residents.</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3. Required coverage. </w:t>
            </w:r>
            <w:r w:rsidRPr="002A3A41">
              <w:rPr>
                <w:rFonts w:ascii="Times New Roman" w:hAnsi="Times New Roman" w:cs="Times New Roman"/>
              </w:rPr>
              <w:t>Requires all health plans to provide coverage for PANDAS and PANS, including antibiotics, medication, behavioral therapies, plasma exchange, and immunoglobulin.</w:t>
            </w:r>
          </w:p>
          <w:p w:rsidR="002A3A41" w:rsidRPr="002A3A41" w:rsidRDefault="002A3A41" w:rsidP="002A3A41">
            <w:pPr>
              <w:pStyle w:val="SubdText"/>
              <w:rPr>
                <w:rStyle w:val="Heading-Inline"/>
                <w:rFonts w:ascii="Times New Roman" w:hAnsi="Times New Roman" w:cs="Times New Roman"/>
              </w:rPr>
            </w:pPr>
            <w:proofErr w:type="spellStart"/>
            <w:r w:rsidRPr="002A3A41">
              <w:rPr>
                <w:rStyle w:val="Heading-Inline"/>
                <w:rFonts w:ascii="Times New Roman" w:hAnsi="Times New Roman" w:cs="Times New Roman"/>
              </w:rPr>
              <w:lastRenderedPageBreak/>
              <w:t>Subd</w:t>
            </w:r>
            <w:proofErr w:type="spellEnd"/>
            <w:r w:rsidRPr="002A3A41">
              <w:rPr>
                <w:rStyle w:val="Heading-Inline"/>
                <w:rFonts w:ascii="Times New Roman" w:hAnsi="Times New Roman" w:cs="Times New Roman"/>
              </w:rPr>
              <w:t>. 4. Reimbursement.</w:t>
            </w:r>
            <w:r w:rsidRPr="002A3A41">
              <w:rPr>
                <w:rFonts w:ascii="Times New Roman" w:hAnsi="Times New Roman" w:cs="Times New Roman"/>
              </w:rPr>
              <w:t xml:space="preserve"> Provides that the commissioner of commerce shall reimburse health carriers for coverage for PANDAS and PANS under this section at the medical assistance rate, and limits reimbursement to coverage that would not have otherwise been provided by the carrier without the requirements of this section. Prohibits a provider from billing an enrollee any amount in excess of the medical assistance rate, but permits the provider to bill the enrollee for the applicable copayment, deductible, or coinsurance.</w:t>
            </w:r>
          </w:p>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b w:val="0"/>
              </w:rPr>
              <w:t>Effective date. This section is effective January 1, 2020, and applies to health plans issued on or after that date.</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E64ED6" w:rsidRPr="0022436D" w:rsidTr="00B23963">
        <w:trPr>
          <w:jc w:val="center"/>
        </w:trPr>
        <w:tc>
          <w:tcPr>
            <w:tcW w:w="1048" w:type="dxa"/>
            <w:shd w:val="clear" w:color="auto" w:fill="auto"/>
            <w:tcMar>
              <w:right w:w="43" w:type="dxa"/>
            </w:tcMar>
          </w:tcPr>
          <w:p w:rsidR="00E64ED6" w:rsidRPr="00B23963" w:rsidRDefault="00E64ED6" w:rsidP="00E64ED6">
            <w:pPr>
              <w:pStyle w:val="Sectionnumber"/>
              <w:numPr>
                <w:ilvl w:val="0"/>
                <w:numId w:val="0"/>
              </w:numPr>
              <w:ind w:left="412"/>
            </w:pPr>
          </w:p>
        </w:tc>
        <w:tc>
          <w:tcPr>
            <w:tcW w:w="6210" w:type="dxa"/>
            <w:shd w:val="clear" w:color="auto" w:fill="auto"/>
          </w:tcPr>
          <w:p w:rsidR="00E64ED6" w:rsidRPr="002A3A41" w:rsidRDefault="00E64ED6" w:rsidP="002A3A41">
            <w:pPr>
              <w:pStyle w:val="Headnote"/>
              <w:rPr>
                <w:rFonts w:ascii="Times New Roman" w:hAnsi="Times New Roman" w:cs="Times New Roman"/>
              </w:rPr>
            </w:pPr>
          </w:p>
        </w:tc>
        <w:tc>
          <w:tcPr>
            <w:tcW w:w="5760" w:type="dxa"/>
            <w:shd w:val="clear" w:color="auto" w:fill="auto"/>
          </w:tcPr>
          <w:p w:rsidR="00E64ED6" w:rsidRDefault="00777176" w:rsidP="002A3A41">
            <w:pPr>
              <w:pStyle w:val="Sectionnumber"/>
              <w:numPr>
                <w:ilvl w:val="0"/>
                <w:numId w:val="0"/>
              </w:numPr>
              <w:rPr>
                <w:bCs/>
                <w:szCs w:val="24"/>
              </w:rPr>
            </w:pPr>
            <w:r>
              <w:rPr>
                <w:bCs/>
                <w:szCs w:val="24"/>
              </w:rPr>
              <w:t>Senate only</w:t>
            </w:r>
          </w:p>
        </w:tc>
        <w:tc>
          <w:tcPr>
            <w:tcW w:w="6102" w:type="dxa"/>
            <w:shd w:val="clear" w:color="auto" w:fill="auto"/>
          </w:tcPr>
          <w:p w:rsidR="00E64ED6" w:rsidRDefault="00E64ED6" w:rsidP="00E64ED6">
            <w:pPr>
              <w:pStyle w:val="NormalWeb"/>
            </w:pPr>
            <w:r>
              <w:rPr>
                <w:b/>
              </w:rPr>
              <w:t xml:space="preserve">Section 2 (62A.65, subdivision 2) </w:t>
            </w:r>
            <w:r w:rsidRPr="00D300CE">
              <w:rPr>
                <w:b/>
              </w:rPr>
              <w:t>Paragraph (a)</w:t>
            </w:r>
            <w:r>
              <w:t xml:space="preserve"> clarifies in statute that any individual health plan offered, sold, issued, or renewed in Minnesota must be guaranteed issued and guaranteed renewable.</w:t>
            </w:r>
          </w:p>
          <w:p w:rsidR="00E64ED6" w:rsidRPr="00E64ED6" w:rsidRDefault="00E64ED6" w:rsidP="005D4CBB">
            <w:pPr>
              <w:pStyle w:val="NormalWeb"/>
              <w:spacing w:after="240" w:afterAutospacing="0"/>
              <w:ind w:left="720"/>
            </w:pPr>
            <w:r w:rsidRPr="00CB2253">
              <w:rPr>
                <w:b/>
              </w:rPr>
              <w:t>Paragraph (b)</w:t>
            </w:r>
            <w:r>
              <w:t xml:space="preserve"> permits a health carrier to close a product offering if it covers less than 50 individuals, provided the carrier offers each covered individual on a guaranteed-issue basis the option to purchase another health plan currently being offered by the health </w:t>
            </w:r>
            <w:r>
              <w:tab/>
              <w:t>carrier.</w:t>
            </w: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Short-term coverage.</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62A.65,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7. Modifies the definition of short-term coverage by (1) allowing short-term coverage to provide coverage for 90 days or less, rather than 185 days or less as in current law; and (2) limiting the period of coverage under short-term coverage to a </w:t>
            </w:r>
            <w:r w:rsidRPr="002A3A41">
              <w:rPr>
                <w:rFonts w:ascii="Times New Roman" w:hAnsi="Times New Roman" w:cs="Times New Roman"/>
              </w:rPr>
              <w:lastRenderedPageBreak/>
              <w:t>total of 185 days, rather than 365 days as in current law, out of any 555-day period.</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Application of other laws.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Adds § 62C.045. Provides that the new chapter governing nonprofit health care entity conversion transactions, and extending the moratorium on conversion transactions, apply to nonprofit health service plan corporations operating under chapter 62C.</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Health maintenance organization.</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Amends § 62D.02, </w:t>
            </w:r>
            <w:proofErr w:type="spellStart"/>
            <w:r w:rsidRPr="002A3A41">
              <w:rPr>
                <w:rFonts w:ascii="Times New Roman" w:hAnsi="Times New Roman" w:cs="Times New Roman"/>
              </w:rPr>
              <w:t>subd</w:t>
            </w:r>
            <w:proofErr w:type="spellEnd"/>
            <w:r w:rsidRPr="002A3A41">
              <w:rPr>
                <w:rFonts w:ascii="Times New Roman" w:hAnsi="Times New Roman" w:cs="Times New Roman"/>
              </w:rPr>
              <w:t>. 4. Amends the definition of health maintenance organization for chapter 62D, to require them to operate as nonprofit corporations organized under chapter 317A.</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Certificate of authority required.</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Amends § 62D.03, </w:t>
            </w:r>
            <w:proofErr w:type="spellStart"/>
            <w:r w:rsidRPr="002A3A41">
              <w:rPr>
                <w:rFonts w:ascii="Times New Roman" w:hAnsi="Times New Roman" w:cs="Times New Roman"/>
              </w:rPr>
              <w:t>subd</w:t>
            </w:r>
            <w:proofErr w:type="spellEnd"/>
            <w:r w:rsidRPr="002A3A41">
              <w:rPr>
                <w:rFonts w:ascii="Times New Roman" w:hAnsi="Times New Roman" w:cs="Times New Roman"/>
              </w:rPr>
              <w:t>. 1. Provides that a corporation applying to the commissioner of health for an HMO license must be a nonprofit corporation.</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Application of other law.</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Adds § 62D.046. Provides that the new chapter governing nonprofit health care entity conversion transactions applies to nonprofit HMOs operating under chapter 62D.</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Authority granted.</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 § 62D.05, </w:t>
            </w:r>
            <w:proofErr w:type="spellStart"/>
            <w:r w:rsidRPr="002A3A41">
              <w:rPr>
                <w:rFonts w:ascii="Times New Roman" w:hAnsi="Times New Roman" w:cs="Times New Roman"/>
              </w:rPr>
              <w:t>subd</w:t>
            </w:r>
            <w:proofErr w:type="spellEnd"/>
            <w:r w:rsidRPr="002A3A41">
              <w:rPr>
                <w:rFonts w:ascii="Times New Roman" w:hAnsi="Times New Roman" w:cs="Times New Roman"/>
              </w:rPr>
              <w:t>. 1. Provides that a corporation that obtains a certificate of authority to operate an HMO must be nonprofit.</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Governing body composition; enrollee advisory board.</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62D.05,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1. Makes a conforming change to conform </w:t>
            </w:r>
            <w:proofErr w:type="gramStart"/>
            <w:r w:rsidRPr="002A3A41">
              <w:rPr>
                <w:rFonts w:ascii="Times New Roman" w:hAnsi="Times New Roman" w:cs="Times New Roman"/>
              </w:rPr>
              <w:t>with</w:t>
            </w:r>
            <w:proofErr w:type="gramEnd"/>
            <w:r w:rsidRPr="002A3A41">
              <w:rPr>
                <w:rFonts w:ascii="Times New Roman" w:hAnsi="Times New Roman" w:cs="Times New Roman"/>
              </w:rPr>
              <w:t xml:space="preserve"> a section requiring HMOs to be organized as nonprofit corporations.</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Net earnings.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Adds </w:t>
            </w:r>
            <w:proofErr w:type="spellStart"/>
            <w:r w:rsidRPr="002A3A41">
              <w:rPr>
                <w:rFonts w:ascii="Times New Roman" w:hAnsi="Times New Roman" w:cs="Times New Roman"/>
              </w:rPr>
              <w:t>subd</w:t>
            </w:r>
            <w:proofErr w:type="spellEnd"/>
            <w:r w:rsidRPr="002A3A41">
              <w:rPr>
                <w:rFonts w:ascii="Times New Roman" w:hAnsi="Times New Roman" w:cs="Times New Roman"/>
              </w:rPr>
              <w:t>. 8a to § 62D.12. Requires a nonprofit health maintenance organization to use its net earnings to provide comprehensive health care. Prohibits an organization from paying net earnings as a dividend or rebate to a person for any reason other than providing comprehensive health care. An exception to this is that the organization can make certain payments to health care providers. Requires the commissioner of health to revoke an organization’s certificate of authority if it violates this subdivision.</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777176" w:rsidRPr="0022436D" w:rsidTr="00B23963">
        <w:trPr>
          <w:jc w:val="center"/>
        </w:trPr>
        <w:tc>
          <w:tcPr>
            <w:tcW w:w="1048" w:type="dxa"/>
            <w:shd w:val="clear" w:color="auto" w:fill="auto"/>
            <w:tcMar>
              <w:right w:w="43" w:type="dxa"/>
            </w:tcMar>
          </w:tcPr>
          <w:p w:rsidR="00777176" w:rsidRPr="00B23963" w:rsidRDefault="00777176" w:rsidP="00777176">
            <w:pPr>
              <w:pStyle w:val="Sectionnumber"/>
              <w:numPr>
                <w:ilvl w:val="0"/>
                <w:numId w:val="0"/>
              </w:numPr>
              <w:ind w:left="412"/>
            </w:pPr>
          </w:p>
        </w:tc>
        <w:tc>
          <w:tcPr>
            <w:tcW w:w="6210" w:type="dxa"/>
            <w:shd w:val="clear" w:color="auto" w:fill="auto"/>
          </w:tcPr>
          <w:p w:rsidR="00777176" w:rsidRPr="002A3A41" w:rsidRDefault="00777176" w:rsidP="002A3A41">
            <w:pPr>
              <w:pStyle w:val="Headnote"/>
              <w:rPr>
                <w:rFonts w:ascii="Times New Roman" w:hAnsi="Times New Roman" w:cs="Times New Roman"/>
              </w:rPr>
            </w:pPr>
          </w:p>
        </w:tc>
        <w:tc>
          <w:tcPr>
            <w:tcW w:w="5760" w:type="dxa"/>
            <w:shd w:val="clear" w:color="auto" w:fill="auto"/>
          </w:tcPr>
          <w:p w:rsidR="00777176" w:rsidRDefault="00777176" w:rsidP="002A3A41">
            <w:pPr>
              <w:pStyle w:val="Sectionnumber"/>
              <w:numPr>
                <w:ilvl w:val="0"/>
                <w:numId w:val="0"/>
              </w:numPr>
              <w:rPr>
                <w:bCs/>
                <w:szCs w:val="24"/>
              </w:rPr>
            </w:pPr>
            <w:r>
              <w:rPr>
                <w:bCs/>
                <w:szCs w:val="24"/>
              </w:rPr>
              <w:t>Senate only</w:t>
            </w:r>
          </w:p>
        </w:tc>
        <w:tc>
          <w:tcPr>
            <w:tcW w:w="6102" w:type="dxa"/>
            <w:shd w:val="clear" w:color="auto" w:fill="auto"/>
          </w:tcPr>
          <w:p w:rsidR="00777176" w:rsidRDefault="00777176" w:rsidP="00777176">
            <w:pPr>
              <w:pStyle w:val="NormalWeb"/>
            </w:pPr>
            <w:r w:rsidRPr="00C01E81">
              <w:rPr>
                <w:b/>
              </w:rPr>
              <w:t xml:space="preserve">Section </w:t>
            </w:r>
            <w:r>
              <w:rPr>
                <w:b/>
              </w:rPr>
              <w:t>3</w:t>
            </w:r>
            <w:r w:rsidRPr="00C01E81">
              <w:rPr>
                <w:b/>
              </w:rPr>
              <w:t xml:space="preserve"> (62D.12, subdivision 20)</w:t>
            </w:r>
            <w:r>
              <w:rPr>
                <w:b/>
              </w:rPr>
              <w:t xml:space="preserve"> Paragraph (a) </w:t>
            </w:r>
            <w:r>
              <w:t>specifies that for-profit HMOs may pay dividends or make distributions or transfers in accordance with section 60D.20, subdivision 2.</w:t>
            </w:r>
          </w:p>
          <w:p w:rsidR="00777176" w:rsidRDefault="00777176" w:rsidP="00777176">
            <w:pPr>
              <w:pStyle w:val="NormalWeb"/>
              <w:ind w:left="720"/>
            </w:pPr>
            <w:r w:rsidRPr="00F65F05">
              <w:rPr>
                <w:b/>
              </w:rPr>
              <w:t>Paragraph (b)</w:t>
            </w:r>
            <w:r>
              <w:t xml:space="preserve"> specifies that if a nonprofit HMO plans on transferring an amount that </w:t>
            </w:r>
            <w:r>
              <w:tab/>
              <w:t xml:space="preserve">together with other transfers made within the preceding 12 months exceeds the greater of: </w:t>
            </w:r>
            <w:r>
              <w:tab/>
              <w:t xml:space="preserve">10% of the HMO’s net worth; or the HMO’s net income for the preceding 12-month </w:t>
            </w:r>
            <w:r>
              <w:tab/>
              <w:t>period, it must meet the requirements of paragraph (c).</w:t>
            </w:r>
          </w:p>
          <w:p w:rsidR="00777176" w:rsidRDefault="00777176" w:rsidP="00777176">
            <w:pPr>
              <w:pStyle w:val="NormalWeb"/>
              <w:ind w:left="720"/>
            </w:pPr>
            <w:r w:rsidRPr="00C06A3C">
              <w:rPr>
                <w:b/>
              </w:rPr>
              <w:t>Paragraph (c)</w:t>
            </w:r>
            <w:r>
              <w:t xml:space="preserve"> requires a nonprofit HMO to notify the commissioner of the transfer.  Requires the commissioner to review the proposed transfer to </w:t>
            </w:r>
            <w:r>
              <w:lastRenderedPageBreak/>
              <w:t>determine whether the proposed transfer is reasonable in relation to the HMO’s outstanding liabilities and the quality of the HMO’s earnings.  Specifies that no transfer shall be made until 30 days after the commissioner has received notice and the commissioner has not disapproved the transfer; or the commissioner has approved the transfer within the 30-day period.</w:t>
            </w:r>
          </w:p>
          <w:p w:rsidR="00777176" w:rsidRDefault="00777176" w:rsidP="00777176">
            <w:pPr>
              <w:pStyle w:val="NormalWeb"/>
              <w:ind w:left="720"/>
            </w:pPr>
            <w:r>
              <w:rPr>
                <w:b/>
              </w:rPr>
              <w:t xml:space="preserve">Paragraph (d) </w:t>
            </w:r>
            <w:r>
              <w:t>defines affiliate.</w:t>
            </w:r>
          </w:p>
          <w:p w:rsidR="00777176" w:rsidRPr="00777176" w:rsidRDefault="00777176" w:rsidP="005D4CBB">
            <w:pPr>
              <w:pStyle w:val="Sectionnumber"/>
              <w:numPr>
                <w:ilvl w:val="0"/>
                <w:numId w:val="0"/>
              </w:numPr>
              <w:spacing w:after="240" w:afterAutospacing="0"/>
              <w:ind w:left="720"/>
              <w:rPr>
                <w:b w:val="0"/>
                <w:bCs/>
                <w:szCs w:val="24"/>
              </w:rPr>
            </w:pPr>
            <w:r w:rsidRPr="00777176">
              <w:t>Paragraph (e)</w:t>
            </w:r>
            <w:r w:rsidRPr="00777176">
              <w:rPr>
                <w:b w:val="0"/>
              </w:rPr>
              <w:t xml:space="preserve"> specifies that the commissioner of health shall enforce this section.</w:t>
            </w: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Emergency care; primary care; mental health services; general hospital services.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62D.124, </w:t>
            </w:r>
            <w:proofErr w:type="spellStart"/>
            <w:r w:rsidRPr="002A3A41">
              <w:rPr>
                <w:rFonts w:ascii="Times New Roman" w:hAnsi="Times New Roman" w:cs="Times New Roman"/>
              </w:rPr>
              <w:t>subd</w:t>
            </w:r>
            <w:proofErr w:type="spellEnd"/>
            <w:r w:rsidRPr="002A3A41">
              <w:rPr>
                <w:rFonts w:ascii="Times New Roman" w:hAnsi="Times New Roman" w:cs="Times New Roman"/>
              </w:rPr>
              <w:t>. 1. Requires emergency care to be available to HMO enrollees 24 hours a day, 7 days a week and establishes appointment wait time requirements for primary care services and for mental health and substance use disorder treatment services.</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Other health services.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62D.124,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2. Establishes appointment wait times for HMO enrollees for </w:t>
            </w:r>
            <w:proofErr w:type="spellStart"/>
            <w:r w:rsidRPr="002A3A41">
              <w:rPr>
                <w:rFonts w:ascii="Times New Roman" w:hAnsi="Times New Roman" w:cs="Times New Roman"/>
              </w:rPr>
              <w:t>nonurgent</w:t>
            </w:r>
            <w:proofErr w:type="spellEnd"/>
            <w:r w:rsidRPr="002A3A41">
              <w:rPr>
                <w:rFonts w:ascii="Times New Roman" w:hAnsi="Times New Roman" w:cs="Times New Roman"/>
              </w:rPr>
              <w:t xml:space="preserve"> specialty care and for dental, optometry, laboratory, and x-ray services for regular appointments and urgent care.</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Waiver.</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Amends § 62D.124,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3. Allows an HMO to apply for a waiver of the network geographic accessibility requirements, by submitting </w:t>
            </w:r>
            <w:r w:rsidRPr="002A3A41">
              <w:rPr>
                <w:rFonts w:ascii="Times New Roman" w:hAnsi="Times New Roman" w:cs="Times New Roman"/>
              </w:rPr>
              <w:lastRenderedPageBreak/>
              <w:t>to the commissioner an application and an application fee of $1,000 per county per year. Specifies application and approval requirements. Allows the commissioner to approve a waiver if the HMO proposes to address network inadequacy through the use of telemedicine, when there are no providers of a specific type or specialty in the county. States that a waiver expires after four years and cannot be renewed; plans must instead submit a new application. Specifies review requirements for new applications. Requires application fees to be deposited in the state government special revenue fund.</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Complaints alleging violation of network adequacy requirements; investigation.</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Amends § 62D.124, by adding </w:t>
            </w:r>
            <w:proofErr w:type="spellStart"/>
            <w:r w:rsidRPr="002A3A41">
              <w:rPr>
                <w:rFonts w:ascii="Times New Roman" w:hAnsi="Times New Roman" w:cs="Times New Roman"/>
              </w:rPr>
              <w:t>subd</w:t>
            </w:r>
            <w:proofErr w:type="spellEnd"/>
            <w:r w:rsidRPr="002A3A41">
              <w:rPr>
                <w:rFonts w:ascii="Times New Roman" w:hAnsi="Times New Roman" w:cs="Times New Roman"/>
              </w:rPr>
              <w:t>. 6. Allows enrollees to file complaints with the commissioner regarding noncompliance of the network geographic accessibility standards. Requires the commissioner to investigate complaints, and allows the commissioner to use the program established under section 62K.105, subdivision 2, to do so.</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Provider network notifications.</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Amends § 62D.124, by adding </w:t>
            </w:r>
            <w:proofErr w:type="spellStart"/>
            <w:r w:rsidRPr="002A3A41">
              <w:rPr>
                <w:rFonts w:ascii="Times New Roman" w:hAnsi="Times New Roman" w:cs="Times New Roman"/>
              </w:rPr>
              <w:t>subd</w:t>
            </w:r>
            <w:proofErr w:type="spellEnd"/>
            <w:r w:rsidRPr="002A3A41">
              <w:rPr>
                <w:rFonts w:ascii="Times New Roman" w:hAnsi="Times New Roman" w:cs="Times New Roman"/>
              </w:rPr>
              <w:t>. 7. Requires an HMO to provide on the organization’s website the provider network for each product, and update the website at least once per month. Also requires the HMO to provide on the website a list of current waivers of the network geographic accessibility standard.</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Administrative penalty.</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Amends § 62D.17,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1. Allows the commissioner to impose an administrative penalty of $100 per day for violations of the network geographic accessibility requirements, and take other enforcement </w:t>
            </w:r>
            <w:r w:rsidRPr="002A3A41">
              <w:rPr>
                <w:rFonts w:ascii="Times New Roman" w:hAnsi="Times New Roman" w:cs="Times New Roman"/>
              </w:rPr>
              <w:lastRenderedPageBreak/>
              <w:t>action, but prohibits the commissioner from also imposing an administrative penalty under section 62K.105, subdivision 3.</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Unreasonable expenses.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62D.19. Makes a conforming change to conform </w:t>
            </w:r>
            <w:proofErr w:type="gramStart"/>
            <w:r w:rsidRPr="002A3A41">
              <w:rPr>
                <w:rFonts w:ascii="Times New Roman" w:hAnsi="Times New Roman" w:cs="Times New Roman"/>
              </w:rPr>
              <w:t>with</w:t>
            </w:r>
            <w:proofErr w:type="gramEnd"/>
            <w:r w:rsidRPr="002A3A41">
              <w:rPr>
                <w:rFonts w:ascii="Times New Roman" w:hAnsi="Times New Roman" w:cs="Times New Roman"/>
              </w:rPr>
              <w:t xml:space="preserve"> a section requiring HMOs to be organized as nonprofit corporations.</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Rural demonstration project.</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62D.30, </w:t>
            </w:r>
            <w:proofErr w:type="spellStart"/>
            <w:r w:rsidRPr="002A3A41">
              <w:rPr>
                <w:rFonts w:ascii="Times New Roman" w:hAnsi="Times New Roman" w:cs="Times New Roman"/>
              </w:rPr>
              <w:t>subd</w:t>
            </w:r>
            <w:proofErr w:type="spellEnd"/>
            <w:r w:rsidRPr="002A3A41">
              <w:rPr>
                <w:rFonts w:ascii="Times New Roman" w:hAnsi="Times New Roman" w:cs="Times New Roman"/>
              </w:rPr>
              <w:t>. 8. Modifies a cross-reference to a subdivision related to loss ratios, from a subdivision being repealed to a new subdivision.</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Health maintenance organization.</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62E.02,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3. Makes a conforming change to conform </w:t>
            </w:r>
            <w:proofErr w:type="gramStart"/>
            <w:r w:rsidRPr="002A3A41">
              <w:rPr>
                <w:rFonts w:ascii="Times New Roman" w:hAnsi="Times New Roman" w:cs="Times New Roman"/>
              </w:rPr>
              <w:t>with</w:t>
            </w:r>
            <w:proofErr w:type="gramEnd"/>
            <w:r w:rsidRPr="002A3A41">
              <w:rPr>
                <w:rFonts w:ascii="Times New Roman" w:hAnsi="Times New Roman" w:cs="Times New Roman"/>
              </w:rPr>
              <w:t xml:space="preserve"> a section requiring HMOs to be organized as nonprofit corporations.</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Calculation of reinsurance payments.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62E.23,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4. Prohibits a health carrier from including claims costs for coverage of 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 PANDAS, or PANS that are eligible for reimbursement by the commissioner of commerce, when the health carrier calculates claims costs incurred for an individual enrollee for purposes of reinsurance payments.</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8E1A7F" w:rsidRPr="0022436D" w:rsidTr="00B23963">
        <w:trPr>
          <w:jc w:val="center"/>
        </w:trPr>
        <w:tc>
          <w:tcPr>
            <w:tcW w:w="1048" w:type="dxa"/>
            <w:shd w:val="clear" w:color="auto" w:fill="auto"/>
            <w:tcMar>
              <w:right w:w="43" w:type="dxa"/>
            </w:tcMar>
          </w:tcPr>
          <w:p w:rsidR="008E1A7F" w:rsidRPr="00B23963" w:rsidRDefault="008E1A7F" w:rsidP="008E1A7F">
            <w:pPr>
              <w:pStyle w:val="Sectionnumber"/>
              <w:numPr>
                <w:ilvl w:val="0"/>
                <w:numId w:val="0"/>
              </w:numPr>
              <w:ind w:left="412"/>
            </w:pPr>
          </w:p>
        </w:tc>
        <w:tc>
          <w:tcPr>
            <w:tcW w:w="6210" w:type="dxa"/>
            <w:shd w:val="clear" w:color="auto" w:fill="auto"/>
          </w:tcPr>
          <w:p w:rsidR="008E1A7F" w:rsidRPr="002A3A41" w:rsidRDefault="008E1A7F" w:rsidP="002A3A41">
            <w:pPr>
              <w:pStyle w:val="Headnote"/>
              <w:rPr>
                <w:rFonts w:ascii="Times New Roman" w:hAnsi="Times New Roman" w:cs="Times New Roman"/>
              </w:rPr>
            </w:pPr>
          </w:p>
        </w:tc>
        <w:tc>
          <w:tcPr>
            <w:tcW w:w="5760" w:type="dxa"/>
            <w:shd w:val="clear" w:color="auto" w:fill="auto"/>
          </w:tcPr>
          <w:p w:rsidR="008E1A7F" w:rsidRDefault="008E1A7F" w:rsidP="002A3A41">
            <w:pPr>
              <w:pStyle w:val="Sectionnumber"/>
              <w:numPr>
                <w:ilvl w:val="0"/>
                <w:numId w:val="0"/>
              </w:numPr>
              <w:rPr>
                <w:bCs/>
                <w:szCs w:val="24"/>
              </w:rPr>
            </w:pPr>
            <w:r>
              <w:rPr>
                <w:bCs/>
                <w:szCs w:val="24"/>
              </w:rPr>
              <w:t>Senate only</w:t>
            </w:r>
          </w:p>
        </w:tc>
        <w:tc>
          <w:tcPr>
            <w:tcW w:w="6102" w:type="dxa"/>
            <w:shd w:val="clear" w:color="auto" w:fill="auto"/>
          </w:tcPr>
          <w:p w:rsidR="008E1A7F" w:rsidRPr="008E1A7F" w:rsidRDefault="008E1A7F" w:rsidP="005D4CBB">
            <w:pPr>
              <w:pStyle w:val="NormalWeb"/>
              <w:spacing w:after="240" w:afterAutospacing="0"/>
              <w:rPr>
                <w:b/>
              </w:rPr>
            </w:pPr>
            <w:r w:rsidRPr="00C01E81">
              <w:rPr>
                <w:b/>
              </w:rPr>
              <w:t>S</w:t>
            </w:r>
            <w:r>
              <w:rPr>
                <w:b/>
              </w:rPr>
              <w:t>ection 4</w:t>
            </w:r>
            <w:r w:rsidRPr="00C01E81">
              <w:rPr>
                <w:b/>
              </w:rPr>
              <w:t xml:space="preserve"> (62K.07)</w:t>
            </w:r>
            <w:r>
              <w:rPr>
                <w:b/>
              </w:rPr>
              <w:t xml:space="preserve"> </w:t>
            </w:r>
            <w:r w:rsidRPr="00D712E0">
              <w:t>requires a health plan company to provide information to the commissioner of commerce when they file rate information on prescription drugs that are reimbursed by the health plan company under health plans issued in this state.</w:t>
            </w: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Provider network notifications.</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Amends § 62K.075. Requires health carriers to provide on the carrier’s website the provider network for each product, and to update the website at least once a month. Also requires the carrier to provide on the website a list of current waivers of the network geographic accessibility standard.</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Emergency care; primary care; mental health services; general hospital services.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62K.10, </w:t>
            </w:r>
            <w:proofErr w:type="spellStart"/>
            <w:r w:rsidRPr="002A3A41">
              <w:rPr>
                <w:rFonts w:ascii="Times New Roman" w:hAnsi="Times New Roman" w:cs="Times New Roman"/>
              </w:rPr>
              <w:t>subd</w:t>
            </w:r>
            <w:proofErr w:type="spellEnd"/>
            <w:r w:rsidRPr="002A3A41">
              <w:rPr>
                <w:rFonts w:ascii="Times New Roman" w:hAnsi="Times New Roman" w:cs="Times New Roman"/>
              </w:rPr>
              <w:t>. 2. Requires emergency care to be available to enrollees of individual or small group health plans 24 hours a day, 7 days a week and provides that the appointment wait times that apply to HMO enrollees for primary care services, mental health services, and substance use disorder treatment services also apply to these enrollees.</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Other health services.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62K.10,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3. Provides that the appointment wait times that apply to HMO enrollees for </w:t>
            </w:r>
            <w:proofErr w:type="spellStart"/>
            <w:r w:rsidRPr="002A3A41">
              <w:rPr>
                <w:rFonts w:ascii="Times New Roman" w:hAnsi="Times New Roman" w:cs="Times New Roman"/>
              </w:rPr>
              <w:t>nonurgent</w:t>
            </w:r>
            <w:proofErr w:type="spellEnd"/>
            <w:r w:rsidRPr="002A3A41">
              <w:rPr>
                <w:rFonts w:ascii="Times New Roman" w:hAnsi="Times New Roman" w:cs="Times New Roman"/>
              </w:rPr>
              <w:t xml:space="preserve"> specialty care and for dental, optometry, laboratory, and x-ray services also apply to enrollees of individual or small group health plans.</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Network adequacy.</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62K.10, </w:t>
            </w:r>
            <w:proofErr w:type="spellStart"/>
            <w:r w:rsidRPr="002A3A41">
              <w:rPr>
                <w:rFonts w:ascii="Times New Roman" w:hAnsi="Times New Roman" w:cs="Times New Roman"/>
              </w:rPr>
              <w:t>subd</w:t>
            </w:r>
            <w:proofErr w:type="spellEnd"/>
            <w:r w:rsidRPr="002A3A41">
              <w:rPr>
                <w:rFonts w:ascii="Times New Roman" w:hAnsi="Times New Roman" w:cs="Times New Roman"/>
              </w:rPr>
              <w:t>. 4. Directs the commissioner to ensure a provider network is sufficient to satisfy the appointment wait time requirements in this section, as part of the commissioner’s evaluation of network adequacy.</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Waiver.</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Amends § 62K.10,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5. Requires health carriers applying for a waiver of the network geographic accessibility standard to submit an application fee of $1,000 per county for which a waiver is sought, </w:t>
            </w:r>
            <w:r w:rsidRPr="002A3A41">
              <w:rPr>
                <w:rFonts w:ascii="Times New Roman" w:hAnsi="Times New Roman" w:cs="Times New Roman"/>
              </w:rPr>
              <w:lastRenderedPageBreak/>
              <w:t>and provide specified information. Sets requirements for the commissioner related to reviewing and approving waiver applications. Allows the commissioner to approve a waiver if the HMO proposes to address network inadequacy through the use of telemedicine, when there are no providers of a specific type or specialty in the county. Also specifies requirements related to the submittal and review of new waiver applications. Requires application fees to be deposited in the state government special revenue fund.</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Network adequacy complaints and investigations.</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Adds § 62K.105.</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1. Complaints.</w:t>
            </w:r>
            <w:r w:rsidRPr="002A3A41">
              <w:rPr>
                <w:rFonts w:ascii="Times New Roman" w:hAnsi="Times New Roman" w:cs="Times New Roman"/>
              </w:rPr>
              <w:t xml:space="preserve"> Requires the commissioner to establish a process for accepting complaints from enrollees regarding health carrier and preferred provider organization network adequacy. Requires the commissioner to investigate all complaints.</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2. Commissioner investigations of provider networks.</w:t>
            </w:r>
            <w:r w:rsidRPr="002A3A41">
              <w:rPr>
                <w:rFonts w:ascii="Times New Roman" w:hAnsi="Times New Roman" w:cs="Times New Roman"/>
              </w:rPr>
              <w:t xml:space="preserve"> Requires the commissioner to establish a “secret shopper” program to determine whether covered services are available to enrollees without unreasonable delay, and whether a network complies with maximum distance and travel time requirements. Requires the commissioner to develop a schedule to ensure periodic examinations of all health carriers and preferred provider organizations, and to use this program to investigate network adequacy complaints under subdivision 1.</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3. Administrative penalties.</w:t>
            </w:r>
            <w:r w:rsidRPr="002A3A41">
              <w:rPr>
                <w:rFonts w:ascii="Times New Roman" w:hAnsi="Times New Roman" w:cs="Times New Roman"/>
              </w:rPr>
              <w:t xml:space="preserve"> Requires the commissioner to impose on a health carrier or preferred provider organization an administrative penalty of at least </w:t>
            </w:r>
            <w:r w:rsidRPr="002A3A41">
              <w:rPr>
                <w:rFonts w:ascii="Times New Roman" w:hAnsi="Times New Roman" w:cs="Times New Roman"/>
              </w:rPr>
              <w:lastRenderedPageBreak/>
              <w:t>$100 a day for violations of network adequacy requirements. Allows the commissioner to take other administrative actions, except that the commissioner shall not also impose an administrative penalty under section 62D.17, subdivision 1. Applies the factors and procedures in section 62D.17, subdivision 1, to the administrative penalties imposed under this subdivision.</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proofErr w:type="spellStart"/>
            <w:r w:rsidRPr="002A3A41">
              <w:rPr>
                <w:rFonts w:ascii="Times New Roman" w:hAnsi="Times New Roman" w:cs="Times New Roman"/>
              </w:rPr>
              <w:t>Nonquantitative</w:t>
            </w:r>
            <w:proofErr w:type="spellEnd"/>
            <w:r w:rsidRPr="002A3A41">
              <w:rPr>
                <w:rFonts w:ascii="Times New Roman" w:hAnsi="Times New Roman" w:cs="Times New Roman"/>
              </w:rPr>
              <w:t xml:space="preserve"> treatment limitations or NQTLs.</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Adds </w:t>
            </w:r>
            <w:proofErr w:type="spellStart"/>
            <w:r w:rsidRPr="002A3A41">
              <w:rPr>
                <w:rFonts w:ascii="Times New Roman" w:hAnsi="Times New Roman" w:cs="Times New Roman"/>
              </w:rPr>
              <w:t>subd</w:t>
            </w:r>
            <w:proofErr w:type="spellEnd"/>
            <w:r w:rsidRPr="002A3A41">
              <w:rPr>
                <w:rFonts w:ascii="Times New Roman" w:hAnsi="Times New Roman" w:cs="Times New Roman"/>
              </w:rPr>
              <w:t>. 6b to § 62Q.01. Defines “</w:t>
            </w:r>
            <w:proofErr w:type="spellStart"/>
            <w:r w:rsidRPr="002A3A41">
              <w:rPr>
                <w:rFonts w:ascii="Times New Roman" w:hAnsi="Times New Roman" w:cs="Times New Roman"/>
              </w:rPr>
              <w:t>nonquantitative</w:t>
            </w:r>
            <w:proofErr w:type="spellEnd"/>
            <w:r w:rsidRPr="002A3A41">
              <w:rPr>
                <w:rFonts w:ascii="Times New Roman" w:hAnsi="Times New Roman" w:cs="Times New Roman"/>
              </w:rPr>
              <w:t xml:space="preserve"> treatment limitations” or “NQTLs” as processes, strategies, or evidentially standards that limit the scope or duration of benefits for treatment. NQTLs may include medical management standards, formulary design, network tiers, </w:t>
            </w:r>
            <w:proofErr w:type="gramStart"/>
            <w:r w:rsidRPr="002A3A41">
              <w:rPr>
                <w:rFonts w:ascii="Times New Roman" w:hAnsi="Times New Roman" w:cs="Times New Roman"/>
              </w:rPr>
              <w:t>requirements</w:t>
            </w:r>
            <w:proofErr w:type="gramEnd"/>
            <w:r w:rsidRPr="002A3A41">
              <w:rPr>
                <w:rFonts w:ascii="Times New Roman" w:hAnsi="Times New Roman" w:cs="Times New Roman"/>
              </w:rPr>
              <w:t xml:space="preserve"> for providers, manner of determining charges, step therapy protocols, exclusions, restrictions, reimbursement rates, and other health plan design features.</w:t>
            </w:r>
          </w:p>
        </w:tc>
        <w:tc>
          <w:tcPr>
            <w:tcW w:w="5760" w:type="dxa"/>
            <w:shd w:val="clear" w:color="auto" w:fill="auto"/>
          </w:tcPr>
          <w:p w:rsidR="002A3A41" w:rsidRPr="0022436D" w:rsidRDefault="005C7395" w:rsidP="002A3A41">
            <w:pPr>
              <w:pStyle w:val="Sectionnumber"/>
              <w:numPr>
                <w:ilvl w:val="0"/>
                <w:numId w:val="0"/>
              </w:numPr>
              <w:rPr>
                <w:bCs/>
                <w:szCs w:val="24"/>
              </w:rPr>
            </w:pPr>
            <w:r>
              <w:rPr>
                <w:bCs/>
                <w:szCs w:val="24"/>
              </w:rPr>
              <w:t>Identical</w:t>
            </w:r>
          </w:p>
        </w:tc>
        <w:tc>
          <w:tcPr>
            <w:tcW w:w="6102" w:type="dxa"/>
            <w:shd w:val="clear" w:color="auto" w:fill="auto"/>
          </w:tcPr>
          <w:p w:rsidR="008E1A7F" w:rsidRPr="00C06A3C" w:rsidRDefault="008E1A7F" w:rsidP="008E1A7F">
            <w:pPr>
              <w:pStyle w:val="NormalWeb"/>
            </w:pPr>
            <w:r>
              <w:rPr>
                <w:b/>
              </w:rPr>
              <w:t>Section 5</w:t>
            </w:r>
            <w:r w:rsidRPr="00C01E81">
              <w:rPr>
                <w:b/>
              </w:rPr>
              <w:t xml:space="preserve"> (62Q.01, subdivision 6b)</w:t>
            </w:r>
            <w:r>
              <w:rPr>
                <w:b/>
              </w:rPr>
              <w:t xml:space="preserve"> </w:t>
            </w:r>
            <w:r>
              <w:t xml:space="preserve">defines </w:t>
            </w:r>
            <w:proofErr w:type="spellStart"/>
            <w:r>
              <w:t>nonquantitative</w:t>
            </w:r>
            <w:proofErr w:type="spellEnd"/>
            <w:r>
              <w:t xml:space="preserve"> treatment limitations, or NQTL.</w:t>
            </w:r>
          </w:p>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Prohibition on use of step therapy for metastatic cancer.</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Adds § 62Q.1841.</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1. Definitions. </w:t>
            </w:r>
            <w:r w:rsidRPr="002A3A41">
              <w:rPr>
                <w:rFonts w:ascii="Times New Roman" w:hAnsi="Times New Roman" w:cs="Times New Roman"/>
              </w:rPr>
              <w:t>Defines the following terms: health plan, stage four metastatic cancer, and step therapy protocol.</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2. Prohibition on use of step therapy protocols.</w:t>
            </w:r>
            <w:r w:rsidRPr="002A3A41">
              <w:rPr>
                <w:rFonts w:ascii="Times New Roman" w:hAnsi="Times New Roman" w:cs="Times New Roman"/>
              </w:rPr>
              <w:t xml:space="preserve"> Prohibits a health plan that provides coverage for the treatment of stage four advanced metastatic cancer or associated conditions from limiting or excluding coverage for a drug approved by the Food and Drug Administration (FDA) that is on the plan’s formulary, by mandating that the enrollees follow a step therapy protocol, if the use of the approved drug is consistent with: (1) a FDA-approved </w:t>
            </w:r>
            <w:r w:rsidRPr="002A3A41">
              <w:rPr>
                <w:rFonts w:ascii="Times New Roman" w:hAnsi="Times New Roman" w:cs="Times New Roman"/>
              </w:rPr>
              <w:lastRenderedPageBreak/>
              <w:t>indication; and (2) a clinical practice guideline published by the National Comprehensive Care Network.</w:t>
            </w:r>
          </w:p>
          <w:p w:rsidR="002A3A41" w:rsidRPr="006E287A" w:rsidRDefault="002A3A41" w:rsidP="006E287A">
            <w:pPr>
              <w:pStyle w:val="BodyText"/>
              <w:rPr>
                <w:rFonts w:ascii="Times New Roman" w:hAnsi="Times New Roman" w:cs="Times New Roman"/>
              </w:rPr>
            </w:pPr>
            <w:r w:rsidRPr="006E287A">
              <w:rPr>
                <w:rFonts w:ascii="Times New Roman" w:hAnsi="Times New Roman" w:cs="Times New Roman"/>
              </w:rPr>
              <w:t>States that the section is effective January 1, 2020, and applies to health plans offered, issued, or renewed on or after that date.</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Alcoholism, mental health, and chemical dependency services.</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Amends § 62Q.47. (d) Prohibits a health plan from imposing NQTLs for mental health and substance use disorders that are not-comparable or more stringent than those applied to medical and surgical benefits in the same classification.</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(f) Requires health plan companies to provide certain information to the commissioner of commerce to confirm that the mental health parity required by this section is being implemented by health plan companies.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(g) Provides that mental health therapy visits and medication maintenance visits are primary care for purposes of applying patient cost-sharing requirements under a health plan. Requires the commissioner of commerce in consultation with the commissioner of health to issue a report to the legislature every year including detailed information about the commissioner’s compliance procedures, enforcement actions, corrective actions, and public information initiatives regarding mental health parity.</w:t>
            </w:r>
          </w:p>
        </w:tc>
        <w:tc>
          <w:tcPr>
            <w:tcW w:w="5760" w:type="dxa"/>
            <w:shd w:val="clear" w:color="auto" w:fill="auto"/>
          </w:tcPr>
          <w:p w:rsidR="002A3A41" w:rsidRDefault="00C5660F" w:rsidP="002A3A41">
            <w:pPr>
              <w:pStyle w:val="Sectionnumber"/>
              <w:numPr>
                <w:ilvl w:val="0"/>
                <w:numId w:val="0"/>
              </w:numPr>
              <w:rPr>
                <w:bCs/>
                <w:szCs w:val="24"/>
              </w:rPr>
            </w:pPr>
            <w:r>
              <w:rPr>
                <w:bCs/>
                <w:szCs w:val="24"/>
              </w:rPr>
              <w:t>In paragraph (d), technical differences; staff recommends Senate.</w:t>
            </w:r>
          </w:p>
          <w:p w:rsidR="00C5660F" w:rsidRDefault="00C5660F" w:rsidP="002A3A41">
            <w:pPr>
              <w:pStyle w:val="Sectionnumber"/>
              <w:numPr>
                <w:ilvl w:val="0"/>
                <w:numId w:val="0"/>
              </w:numPr>
              <w:rPr>
                <w:bCs/>
                <w:szCs w:val="24"/>
              </w:rPr>
            </w:pPr>
            <w:r>
              <w:rPr>
                <w:bCs/>
                <w:szCs w:val="24"/>
              </w:rPr>
              <w:t>In paragraph (f), House requires consultation with advocates, providers, and health plan companies and Senate does not. House lists information that may be required from health plan companies that Senate does not include. Also, technical differences; staff recommends Senate.</w:t>
            </w:r>
          </w:p>
          <w:p w:rsidR="00C5660F" w:rsidRPr="00AE46E8" w:rsidRDefault="00C5660F" w:rsidP="00C5660F">
            <w:pPr>
              <w:rPr>
                <w:b/>
              </w:rPr>
            </w:pPr>
            <w:r w:rsidRPr="00AE46E8">
              <w:rPr>
                <w:b/>
              </w:rPr>
              <w:t>In paragraph (g), technical differences; staff recommends Senate.</w:t>
            </w:r>
          </w:p>
          <w:p w:rsidR="00C5660F" w:rsidRPr="00C5660F" w:rsidRDefault="00C5660F" w:rsidP="00AB3B3E">
            <w:pPr>
              <w:pStyle w:val="Sectionnumber"/>
              <w:numPr>
                <w:ilvl w:val="0"/>
                <w:numId w:val="0"/>
              </w:numPr>
              <w:rPr>
                <w:bCs/>
                <w:szCs w:val="24"/>
              </w:rPr>
            </w:pPr>
            <w:r w:rsidRPr="00C5660F">
              <w:t>In House paragraph (g)/Senate paragraph (h), House para</w:t>
            </w:r>
            <w:r>
              <w:t>graph</w:t>
            </w:r>
            <w:r w:rsidRPr="00C5660F">
              <w:t xml:space="preserve"> (g), clause (</w:t>
            </w:r>
            <w:r w:rsidR="00AB3B3E">
              <w:t>3</w:t>
            </w:r>
            <w:r w:rsidRPr="00C5660F">
              <w:t>), item (iv)</w:t>
            </w:r>
            <w:r>
              <w:t>,</w:t>
            </w:r>
            <w:r w:rsidRPr="00C5660F">
              <w:t xml:space="preserve"> </w:t>
            </w:r>
            <w:proofErr w:type="gramStart"/>
            <w:r w:rsidRPr="00C5660F">
              <w:t>is</w:t>
            </w:r>
            <w:proofErr w:type="gramEnd"/>
            <w:r w:rsidRPr="00C5660F">
              <w:t xml:space="preserve"> House-only. Senate requires individually identifiable information to be excluded from reports; House does not. Also technical differences; staff recommends Senate.</w:t>
            </w:r>
          </w:p>
        </w:tc>
        <w:tc>
          <w:tcPr>
            <w:tcW w:w="6102" w:type="dxa"/>
            <w:shd w:val="clear" w:color="auto" w:fill="auto"/>
          </w:tcPr>
          <w:p w:rsidR="008E1A7F" w:rsidRDefault="008E1A7F" w:rsidP="008E1A7F">
            <w:pPr>
              <w:pStyle w:val="NormalWeb"/>
            </w:pPr>
            <w:r>
              <w:rPr>
                <w:b/>
              </w:rPr>
              <w:t>Section 6</w:t>
            </w:r>
            <w:r w:rsidRPr="00C01E81">
              <w:rPr>
                <w:b/>
              </w:rPr>
              <w:t xml:space="preserve"> (62Q.47)</w:t>
            </w:r>
            <w:r>
              <w:rPr>
                <w:b/>
              </w:rPr>
              <w:t xml:space="preserve"> </w:t>
            </w:r>
            <w:r w:rsidRPr="00C06A3C">
              <w:rPr>
                <w:b/>
              </w:rPr>
              <w:t>Paragraph (d)</w:t>
            </w:r>
            <w:r>
              <w:t xml:space="preserve"> specifies that a health plan company must not impost an NQTL with respect to mental health and substance abuse disorders unless comparable to those applied to medical and surgical benefits in the same classification.</w:t>
            </w:r>
          </w:p>
          <w:p w:rsidR="008E1A7F" w:rsidRDefault="008E1A7F" w:rsidP="008E1A7F">
            <w:pPr>
              <w:pStyle w:val="NormalWeb"/>
              <w:ind w:left="720"/>
            </w:pPr>
            <w:r w:rsidRPr="00C06A3C">
              <w:rPr>
                <w:b/>
              </w:rPr>
              <w:t>Paragra</w:t>
            </w:r>
            <w:r>
              <w:rPr>
                <w:b/>
              </w:rPr>
              <w:t>p</w:t>
            </w:r>
            <w:r w:rsidRPr="00C06A3C">
              <w:rPr>
                <w:b/>
              </w:rPr>
              <w:t>h (f)</w:t>
            </w:r>
            <w:r>
              <w:t xml:space="preserve"> authorized the commissioner to require information from health plan companies to confirm that mental health parity is being implemented by the health plan company.</w:t>
            </w:r>
          </w:p>
          <w:p w:rsidR="008E1A7F" w:rsidRDefault="008E1A7F" w:rsidP="008E1A7F">
            <w:pPr>
              <w:pStyle w:val="NormalWeb"/>
              <w:ind w:left="720"/>
            </w:pPr>
            <w:r w:rsidRPr="00C06A3C">
              <w:rPr>
                <w:b/>
              </w:rPr>
              <w:t>Paragraph (g)</w:t>
            </w:r>
            <w:r>
              <w:t xml:space="preserve"> specifies that mental health therapy visits and medication maintenance visits shall be considered primary care visits for the purpose of applying enrollee cost-sharing requirements.</w:t>
            </w:r>
          </w:p>
          <w:p w:rsidR="002A3A41" w:rsidRPr="008E1A7F" w:rsidRDefault="008E1A7F" w:rsidP="005D4CBB">
            <w:pPr>
              <w:pStyle w:val="NormalWeb"/>
              <w:spacing w:after="240" w:afterAutospacing="0"/>
              <w:ind w:left="720"/>
            </w:pPr>
            <w:r w:rsidRPr="00C06A3C">
              <w:rPr>
                <w:b/>
              </w:rPr>
              <w:t>Paragraph (h)</w:t>
            </w:r>
            <w:r>
              <w:t xml:space="preserve"> requires the commissioner of commerce to submit an annual report to the legislature on compliance with and oversight of the federal regulations regarding mental health parity, this section, and section 62Q.53</w:t>
            </w:r>
          </w:p>
        </w:tc>
      </w:tr>
      <w:tr w:rsidR="008E1A7F" w:rsidRPr="0022436D" w:rsidTr="00B23963">
        <w:trPr>
          <w:jc w:val="center"/>
        </w:trPr>
        <w:tc>
          <w:tcPr>
            <w:tcW w:w="1048" w:type="dxa"/>
            <w:shd w:val="clear" w:color="auto" w:fill="auto"/>
            <w:tcMar>
              <w:right w:w="43" w:type="dxa"/>
            </w:tcMar>
          </w:tcPr>
          <w:p w:rsidR="008E1A7F" w:rsidRPr="00B23963" w:rsidRDefault="008E1A7F" w:rsidP="008E1A7F">
            <w:pPr>
              <w:pStyle w:val="Sectionnumber"/>
              <w:numPr>
                <w:ilvl w:val="0"/>
                <w:numId w:val="0"/>
              </w:numPr>
              <w:ind w:left="412"/>
            </w:pPr>
          </w:p>
        </w:tc>
        <w:tc>
          <w:tcPr>
            <w:tcW w:w="6210" w:type="dxa"/>
            <w:shd w:val="clear" w:color="auto" w:fill="auto"/>
          </w:tcPr>
          <w:p w:rsidR="008E1A7F" w:rsidRPr="002A3A41" w:rsidRDefault="008E1A7F" w:rsidP="002A3A41">
            <w:pPr>
              <w:pStyle w:val="Headnote"/>
              <w:rPr>
                <w:rFonts w:ascii="Times New Roman" w:hAnsi="Times New Roman" w:cs="Times New Roman"/>
              </w:rPr>
            </w:pPr>
          </w:p>
        </w:tc>
        <w:tc>
          <w:tcPr>
            <w:tcW w:w="5760" w:type="dxa"/>
            <w:shd w:val="clear" w:color="auto" w:fill="auto"/>
          </w:tcPr>
          <w:p w:rsidR="008E1A7F" w:rsidRPr="0022436D" w:rsidRDefault="00691F41" w:rsidP="002A3A41">
            <w:pPr>
              <w:pStyle w:val="Sectionnumber"/>
              <w:numPr>
                <w:ilvl w:val="0"/>
                <w:numId w:val="0"/>
              </w:numPr>
              <w:rPr>
                <w:bCs/>
                <w:szCs w:val="24"/>
              </w:rPr>
            </w:pPr>
            <w:r>
              <w:rPr>
                <w:bCs/>
                <w:szCs w:val="24"/>
              </w:rPr>
              <w:t>Senate only</w:t>
            </w:r>
          </w:p>
        </w:tc>
        <w:tc>
          <w:tcPr>
            <w:tcW w:w="6102" w:type="dxa"/>
            <w:shd w:val="clear" w:color="auto" w:fill="auto"/>
          </w:tcPr>
          <w:p w:rsidR="008E1A7F" w:rsidRDefault="008E1A7F" w:rsidP="005D4CBB">
            <w:pPr>
              <w:pStyle w:val="NormalWeb"/>
              <w:spacing w:after="240" w:afterAutospacing="0"/>
              <w:rPr>
                <w:b/>
              </w:rPr>
            </w:pPr>
            <w:r>
              <w:rPr>
                <w:b/>
              </w:rPr>
              <w:t xml:space="preserve">Section 7 (62Q.48) </w:t>
            </w:r>
            <w:r>
              <w:t xml:space="preserve">limits the total amount of cost sharing that an enrollee is required to pay at point of sale for insulin at an amount that does not exceed the net price of the insulin.  </w:t>
            </w:r>
            <w:r>
              <w:lastRenderedPageBreak/>
              <w:t>Defines net price as the health plan company’s cost of the drug, including any rebates or discounts received on or accrued to the health plan company from a manufacturer or pharmacy benefit manager.</w:t>
            </w:r>
          </w:p>
        </w:tc>
      </w:tr>
      <w:tr w:rsidR="002A3A41" w:rsidRPr="0022436D" w:rsidTr="00B23963">
        <w:trPr>
          <w:jc w:val="center"/>
        </w:trPr>
        <w:tc>
          <w:tcPr>
            <w:tcW w:w="1048" w:type="dxa"/>
            <w:shd w:val="clear" w:color="auto" w:fill="auto"/>
            <w:tcMar>
              <w:right w:w="43" w:type="dxa"/>
            </w:tcMar>
          </w:tcPr>
          <w:p w:rsidR="002A3A41" w:rsidRPr="00B23963" w:rsidRDefault="002A3A41" w:rsidP="002A3A41">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Coverage of contraceptive methods and services.</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Adds § 62Q.521.</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1. Definitions.</w:t>
            </w:r>
            <w:r w:rsidRPr="002A3A41">
              <w:rPr>
                <w:rFonts w:ascii="Times New Roman" w:hAnsi="Times New Roman" w:cs="Times New Roman"/>
              </w:rPr>
              <w:t xml:space="preserve"> Provides definiti</w:t>
            </w:r>
            <w:r w:rsidR="0065619B">
              <w:rPr>
                <w:rFonts w:ascii="Times New Roman" w:hAnsi="Times New Roman" w:cs="Times New Roman"/>
              </w:rPr>
              <w:t>ons for closely held for-profit entity</w:t>
            </w:r>
            <w:r w:rsidR="003E62AF">
              <w:rPr>
                <w:rFonts w:ascii="Times New Roman" w:hAnsi="Times New Roman" w:cs="Times New Roman"/>
              </w:rPr>
              <w:t>,</w:t>
            </w:r>
            <w:r w:rsidRPr="002A3A41">
              <w:rPr>
                <w:rFonts w:ascii="Times New Roman" w:hAnsi="Times New Roman" w:cs="Times New Roman"/>
              </w:rPr>
              <w:t xml:space="preserve"> contraceptive method, contraceptive service, eligible organization, medical necessity, religious employer, and therapeutic equivalent version.</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2. Required coverage; cost sharing prohibited.</w:t>
            </w:r>
            <w:r w:rsidRPr="002A3A41">
              <w:rPr>
                <w:rFonts w:ascii="Times New Roman" w:hAnsi="Times New Roman" w:cs="Times New Roman"/>
              </w:rPr>
              <w:t xml:space="preserve"> (a) Requires health plans to cover contraceptive methods and services.</w:t>
            </w:r>
          </w:p>
          <w:p w:rsidR="002A3A41" w:rsidRPr="002A3A41" w:rsidRDefault="002A3A41" w:rsidP="002A3A41">
            <w:pPr>
              <w:pStyle w:val="SubdText"/>
              <w:rPr>
                <w:rFonts w:ascii="Times New Roman" w:hAnsi="Times New Roman" w:cs="Times New Roman"/>
                <w:b/>
              </w:rPr>
            </w:pPr>
            <w:r w:rsidRPr="002A3A41">
              <w:rPr>
                <w:rFonts w:ascii="Times New Roman" w:hAnsi="Times New Roman" w:cs="Times New Roman"/>
              </w:rPr>
              <w:t>(b) Prohibits health plan companies for imposing cost-sharing on contraceptive methods and services.</w:t>
            </w:r>
          </w:p>
          <w:p w:rsidR="002A3A41" w:rsidRPr="002A3A41" w:rsidRDefault="002A3A41" w:rsidP="002A3A41">
            <w:pPr>
              <w:pStyle w:val="SubdText"/>
              <w:rPr>
                <w:rFonts w:ascii="Times New Roman" w:hAnsi="Times New Roman" w:cs="Times New Roman"/>
                <w:b/>
              </w:rPr>
            </w:pPr>
            <w:r w:rsidRPr="002A3A41">
              <w:rPr>
                <w:rFonts w:ascii="Times New Roman" w:hAnsi="Times New Roman" w:cs="Times New Roman"/>
              </w:rPr>
              <w:t>(c) Requires high-deductible health plans with a health savings account to include cost-sharing for contraceptive methods and services at the minimum amount necessary for the enrollee to make tax exempt contributions and withdrawals from the health savings account.</w:t>
            </w:r>
          </w:p>
          <w:p w:rsidR="002A3A41" w:rsidRPr="002A3A41" w:rsidRDefault="002A3A41" w:rsidP="002A3A41">
            <w:pPr>
              <w:pStyle w:val="SubdText"/>
              <w:rPr>
                <w:rFonts w:ascii="Times New Roman" w:hAnsi="Times New Roman" w:cs="Times New Roman"/>
                <w:b/>
              </w:rPr>
            </w:pPr>
            <w:r w:rsidRPr="002A3A41">
              <w:rPr>
                <w:rFonts w:ascii="Times New Roman" w:hAnsi="Times New Roman" w:cs="Times New Roman"/>
              </w:rPr>
              <w:t>(d) Prohibits a health plan company from imposing referral requirements, restrictions, or delays for contraceptive methods and services.</w:t>
            </w:r>
          </w:p>
          <w:p w:rsidR="002A3A41" w:rsidRPr="002A3A41" w:rsidRDefault="002A3A41" w:rsidP="002A3A41">
            <w:pPr>
              <w:pStyle w:val="SubdText"/>
              <w:rPr>
                <w:rFonts w:ascii="Times New Roman" w:hAnsi="Times New Roman" w:cs="Times New Roman"/>
                <w:b/>
              </w:rPr>
            </w:pPr>
            <w:r w:rsidRPr="002A3A41">
              <w:rPr>
                <w:rFonts w:ascii="Times New Roman" w:hAnsi="Times New Roman" w:cs="Times New Roman"/>
              </w:rPr>
              <w:t>(</w:t>
            </w:r>
            <w:proofErr w:type="gramStart"/>
            <w:r w:rsidRPr="002A3A41">
              <w:rPr>
                <w:rFonts w:ascii="Times New Roman" w:hAnsi="Times New Roman" w:cs="Times New Roman"/>
              </w:rPr>
              <w:t>e</w:t>
            </w:r>
            <w:proofErr w:type="gramEnd"/>
            <w:r w:rsidRPr="002A3A41">
              <w:rPr>
                <w:rFonts w:ascii="Times New Roman" w:hAnsi="Times New Roman" w:cs="Times New Roman"/>
              </w:rPr>
              <w:t xml:space="preserve">) Requires a health plan company to include at least one type of each FDA approved contraceptive method in its </w:t>
            </w:r>
            <w:r w:rsidRPr="002A3A41">
              <w:rPr>
                <w:rFonts w:ascii="Times New Roman" w:hAnsi="Times New Roman" w:cs="Times New Roman"/>
              </w:rPr>
              <w:lastRenderedPageBreak/>
              <w:t>formulary. Clarifies that all therapeutic equivalent versions do not need to be included in the formulary.</w:t>
            </w:r>
          </w:p>
          <w:p w:rsidR="002A3A41" w:rsidRPr="002A3A41" w:rsidRDefault="002A3A41" w:rsidP="002A3A41">
            <w:pPr>
              <w:pStyle w:val="SubdText"/>
              <w:rPr>
                <w:rFonts w:ascii="Times New Roman" w:hAnsi="Times New Roman" w:cs="Times New Roman"/>
                <w:b/>
              </w:rPr>
            </w:pPr>
            <w:r w:rsidRPr="002A3A41">
              <w:rPr>
                <w:rFonts w:ascii="Times New Roman" w:hAnsi="Times New Roman" w:cs="Times New Roman"/>
              </w:rPr>
              <w:t>(f) Requires health plan companies to list the contraceptive methods and services that are covered without cost-sharing in an easily accessible manner. Requires the list to be promptly updated to reflect changes.</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(g) Requires a health plan company to defer to a health care provider, and provide coverage without cost-sharing, if the provider recommends a particular contraceptive method or service based on medical necessity for the enrollee.</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3. Religious employers; exempt.</w:t>
            </w:r>
            <w:r w:rsidRPr="002A3A41">
              <w:rPr>
                <w:rFonts w:ascii="Times New Roman" w:hAnsi="Times New Roman" w:cs="Times New Roman"/>
              </w:rPr>
              <w:t xml:space="preserve"> (a) Allows a religious employer to not cover contraceptive methods or services if the employer has religious objections. Requires a religious employer to notify employees as part of the hiring process and all employees as least 30 days before enrollment in the health plan or the effective date of the health plan, whichever is first.</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(b) Provides that if the religious employer covers some contraceptive methods or services, the notice in paragraph (a) must include a list of what the employer refuses to cover.</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4. Accommodation for eligible organizations.</w:t>
            </w:r>
            <w:r w:rsidRPr="002A3A41">
              <w:rPr>
                <w:rFonts w:ascii="Times New Roman" w:hAnsi="Times New Roman" w:cs="Times New Roman"/>
              </w:rPr>
              <w:t xml:space="preserve"> (a) Allows an eligible organization to not cover contraceptive methods or services if the eligible organizations notifies the health plan company.</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(b) Requires the notice from an eligible organization to include certain information.</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lastRenderedPageBreak/>
              <w:t>(c) Requires an eligible organization to provide notice to prospective employees and all employees at least 30 days before enrollment in the health plan or the effective date of the health plan, whichever is first.</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(d) Requires a health plan company that receives notice from an eligible organization to exclude coverage for some or all of the contraceptive methods and services and provide separate payment for any method or service required to be covered under subdivision 2.</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(e) Prohibits a health plan company from imposing any cost sharing requirements or premium or other charge for contraceptive services or methods to the eligible organization, health plan, or enrollee.</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(f) Requires a health plan company to provide the commissioner of commerce with the number of eligible organization accommodations granted under this subdivision each year.</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Effective date. This section is effective January 2021, and applies to coverage on or after that date.</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Coverage for prescription contraceptives; supply requirements.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Adds § 62Q.522.</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1. Scope of coverage. </w:t>
            </w:r>
            <w:r w:rsidRPr="002A3A41">
              <w:rPr>
                <w:rFonts w:ascii="Times New Roman" w:hAnsi="Times New Roman" w:cs="Times New Roman"/>
              </w:rPr>
              <w:t>Requires all health plans that provide prescription coverage to comply with this section, excluding religious organizations.</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lastRenderedPageBreak/>
              <w:t>Subd</w:t>
            </w:r>
            <w:proofErr w:type="spellEnd"/>
            <w:r w:rsidRPr="002A3A41">
              <w:rPr>
                <w:rStyle w:val="Heading-Inline"/>
                <w:rFonts w:ascii="Times New Roman" w:hAnsi="Times New Roman" w:cs="Times New Roman"/>
              </w:rPr>
              <w:t xml:space="preserve">. 2. Definition. </w:t>
            </w:r>
            <w:r w:rsidRPr="002A3A41">
              <w:rPr>
                <w:rFonts w:ascii="Times New Roman" w:hAnsi="Times New Roman" w:cs="Times New Roman"/>
              </w:rPr>
              <w:t>Defines prescription contraceptive as any FDA approved drug or device that prevents pregnancy, but does not include emergency contraceptive drugs.</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3. Required coverage. </w:t>
            </w:r>
            <w:r w:rsidRPr="002A3A41">
              <w:rPr>
                <w:rFonts w:ascii="Times New Roman" w:hAnsi="Times New Roman" w:cs="Times New Roman"/>
              </w:rPr>
              <w:t>(a) Requires health plans to cover a 12-month supply of prescription contraceptives.</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(b) Allows the prescribing health care provider to determine the appropriate number of months to prescribe for, up to 12.</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Effective date. This section is effective January 2021, and applies to coverage on or after that date.</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Essential health benefits package requirements.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Amends § 62Q.81. Amends a section requiring individual and small group health plans to include an essential health benefits package, by striking requirements that the essential health benefits package comply with requirements in the Affordable Care Act and instead requiring the essential health benefits package to comply with requirements in this section.</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1. </w:t>
            </w:r>
            <w:r w:rsidRPr="002A3A41">
              <w:rPr>
                <w:rFonts w:ascii="Times New Roman" w:hAnsi="Times New Roman" w:cs="Times New Roman"/>
                <w:b/>
              </w:rPr>
              <w:t>Essential health benefits package</w:t>
            </w:r>
            <w:r w:rsidRPr="002A3A41">
              <w:rPr>
                <w:rStyle w:val="Heading-Inline"/>
                <w:rFonts w:ascii="Times New Roman" w:hAnsi="Times New Roman" w:cs="Times New Roman"/>
              </w:rPr>
              <w:t>.</w:t>
            </w:r>
            <w:r w:rsidRPr="002A3A41">
              <w:rPr>
                <w:rFonts w:ascii="Times New Roman" w:hAnsi="Times New Roman" w:cs="Times New Roman"/>
              </w:rPr>
              <w:t xml:space="preserve"> Strikes references to the Affordable Care Act in the definition of essential health benefits package, and instead requires an essential health benefits package to comply with this section.</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2. </w:t>
            </w:r>
            <w:r w:rsidRPr="002A3A41">
              <w:rPr>
                <w:rFonts w:ascii="Times New Roman" w:hAnsi="Times New Roman" w:cs="Times New Roman"/>
                <w:b/>
              </w:rPr>
              <w:t>Cost-sharing; coverage for enrollees under the age of 21</w:t>
            </w:r>
            <w:r w:rsidRPr="002A3A41">
              <w:rPr>
                <w:rStyle w:val="Heading-Inline"/>
                <w:rFonts w:ascii="Times New Roman" w:hAnsi="Times New Roman" w:cs="Times New Roman"/>
              </w:rPr>
              <w:t>.</w:t>
            </w:r>
            <w:r w:rsidRPr="002A3A41">
              <w:rPr>
                <w:rFonts w:ascii="Times New Roman" w:hAnsi="Times New Roman" w:cs="Times New Roman"/>
              </w:rPr>
              <w:t xml:space="preserve"> Lists what is included in cost-sharing, and limits cost-sharing for individual health plans and small group health plans.</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lastRenderedPageBreak/>
              <w:t>Subd</w:t>
            </w:r>
            <w:proofErr w:type="spellEnd"/>
            <w:r w:rsidRPr="002A3A41">
              <w:rPr>
                <w:rStyle w:val="Heading-Inline"/>
                <w:rFonts w:ascii="Times New Roman" w:hAnsi="Times New Roman" w:cs="Times New Roman"/>
              </w:rPr>
              <w:t xml:space="preserve">. 3. </w:t>
            </w:r>
            <w:r w:rsidRPr="002A3A41">
              <w:rPr>
                <w:rFonts w:ascii="Times New Roman" w:hAnsi="Times New Roman" w:cs="Times New Roman"/>
                <w:b/>
              </w:rPr>
              <w:t>Levels of coverage; alternative compliance for catastrophic plans</w:t>
            </w:r>
            <w:r w:rsidRPr="002A3A41">
              <w:rPr>
                <w:rStyle w:val="Heading-Inline"/>
                <w:rFonts w:ascii="Times New Roman" w:hAnsi="Times New Roman" w:cs="Times New Roman"/>
              </w:rPr>
              <w:t>.</w:t>
            </w:r>
            <w:r w:rsidRPr="002A3A41">
              <w:rPr>
                <w:rFonts w:ascii="Times New Roman" w:hAnsi="Times New Roman" w:cs="Times New Roman"/>
              </w:rPr>
              <w:t xml:space="preserve"> Specifies levels of coverage for bronze level, silver level, gold level, and platinum level health plans, and establishes requirements for individuals eligible to enroll in catastrophic plans and the health benefits that a catastrophic plan must offer.</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4. </w:t>
            </w:r>
            <w:r w:rsidRPr="002A3A41">
              <w:rPr>
                <w:rFonts w:ascii="Times New Roman" w:hAnsi="Times New Roman" w:cs="Times New Roman"/>
                <w:b/>
              </w:rPr>
              <w:t>Essential health benefits; definition</w:t>
            </w:r>
            <w:r w:rsidRPr="002A3A41">
              <w:rPr>
                <w:rStyle w:val="Heading-Inline"/>
                <w:rFonts w:ascii="Times New Roman" w:hAnsi="Times New Roman" w:cs="Times New Roman"/>
              </w:rPr>
              <w:t>.</w:t>
            </w:r>
            <w:r w:rsidRPr="002A3A41">
              <w:rPr>
                <w:rFonts w:ascii="Times New Roman" w:hAnsi="Times New Roman" w:cs="Times New Roman"/>
              </w:rPr>
              <w:t xml:space="preserve"> Removes references to the ACA in the definition of essential health benefits, and limits essential health benefits to items listed in paragraph (a) rather than including items listed in paragraph (a). Requires emergency services to be provided without imposing prior authorization requirement or limitation on coverage that is more restrictive than emergency services provided from an in-network provider. Requires cost sharing for out-of-network and in-network emergency services to be the same. Requires the scope of essential health benefits to equal the scope of benefits provided under a typical employer plan. Also requires essential health benefits to reflect an appropriate balance among categories; prohibits coverage decisions or reimbursement rate determinations that discriminate based on age, disability, or life expectance; requires diverse segments of the population to be taken into account, and prohibits essential health benefits from being subject to denial based on any of the listed conditions.</w:t>
            </w:r>
          </w:p>
          <w:p w:rsidR="002A3A41" w:rsidRPr="002A3A41" w:rsidRDefault="002A3A41" w:rsidP="002A3A41">
            <w:pPr>
              <w:pStyle w:val="SubdText"/>
              <w:rPr>
                <w:rStyle w:val="Heading-Inline"/>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5. </w:t>
            </w:r>
            <w:r w:rsidRPr="002A3A41">
              <w:rPr>
                <w:rFonts w:ascii="Times New Roman" w:hAnsi="Times New Roman" w:cs="Times New Roman"/>
                <w:b/>
              </w:rPr>
              <w:t>Exception</w:t>
            </w:r>
            <w:r w:rsidRPr="002A3A41">
              <w:rPr>
                <w:rStyle w:val="Heading-Inline"/>
                <w:rFonts w:ascii="Times New Roman" w:hAnsi="Times New Roman" w:cs="Times New Roman"/>
              </w:rPr>
              <w:t>.</w:t>
            </w:r>
            <w:r w:rsidRPr="002A3A41">
              <w:rPr>
                <w:rFonts w:ascii="Times New Roman" w:hAnsi="Times New Roman" w:cs="Times New Roman"/>
              </w:rPr>
              <w:t xml:space="preserve"> Replaces a reference to the ACA in a subdivision establishing an exception, and instead specifies that the exception applies to pediatric dental plans.</w:t>
            </w:r>
          </w:p>
        </w:tc>
        <w:tc>
          <w:tcPr>
            <w:tcW w:w="5760" w:type="dxa"/>
            <w:shd w:val="clear" w:color="auto" w:fill="auto"/>
          </w:tcPr>
          <w:p w:rsidR="002A3A41" w:rsidRPr="0022436D" w:rsidRDefault="008E1A7F"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Drugs.</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Amends § 256B.0625,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13. Requires medical assistance and </w:t>
            </w:r>
            <w:proofErr w:type="spellStart"/>
            <w:r w:rsidRPr="002A3A41">
              <w:rPr>
                <w:rFonts w:ascii="Times New Roman" w:hAnsi="Times New Roman" w:cs="Times New Roman"/>
              </w:rPr>
              <w:t>MinnesotaCare</w:t>
            </w:r>
            <w:proofErr w:type="spellEnd"/>
            <w:r w:rsidRPr="002A3A41">
              <w:rPr>
                <w:rFonts w:ascii="Times New Roman" w:hAnsi="Times New Roman" w:cs="Times New Roman"/>
              </w:rPr>
              <w:t xml:space="preserve"> to provide the prescription coverage under section 62Q.522.</w:t>
            </w:r>
          </w:p>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b w:val="0"/>
              </w:rPr>
              <w:t xml:space="preserve">Effective date. This section applies to medical assistance and </w:t>
            </w:r>
            <w:proofErr w:type="spellStart"/>
            <w:r w:rsidRPr="002A3A41">
              <w:rPr>
                <w:rFonts w:ascii="Times New Roman" w:hAnsi="Times New Roman" w:cs="Times New Roman"/>
                <w:b w:val="0"/>
              </w:rPr>
              <w:t>MinnesotaCare</w:t>
            </w:r>
            <w:proofErr w:type="spellEnd"/>
            <w:r w:rsidRPr="002A3A41">
              <w:rPr>
                <w:rFonts w:ascii="Times New Roman" w:hAnsi="Times New Roman" w:cs="Times New Roman"/>
                <w:b w:val="0"/>
              </w:rPr>
              <w:t xml:space="preserve"> coverage effective January 1, 2021.</w:t>
            </w:r>
          </w:p>
        </w:tc>
        <w:tc>
          <w:tcPr>
            <w:tcW w:w="5760" w:type="dxa"/>
            <w:shd w:val="clear" w:color="auto" w:fill="auto"/>
          </w:tcPr>
          <w:p w:rsidR="002A3A41" w:rsidRPr="0022436D" w:rsidRDefault="008B1BDB"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Prior authorization.</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256B.0625, </w:t>
            </w:r>
            <w:proofErr w:type="spellStart"/>
            <w:r w:rsidRPr="002A3A41">
              <w:rPr>
                <w:rFonts w:ascii="Times New Roman" w:hAnsi="Times New Roman" w:cs="Times New Roman"/>
              </w:rPr>
              <w:t>subd</w:t>
            </w:r>
            <w:proofErr w:type="spellEnd"/>
            <w:r w:rsidRPr="002A3A41">
              <w:rPr>
                <w:rFonts w:ascii="Times New Roman" w:hAnsi="Times New Roman" w:cs="Times New Roman"/>
              </w:rPr>
              <w:t>. 13f. Requires any step therapy protocol requirements established by the Commissioner of Human Services to comply with section 62Q.1841. Provides a January 1, 2020, effective date.</w:t>
            </w:r>
          </w:p>
        </w:tc>
        <w:tc>
          <w:tcPr>
            <w:tcW w:w="5760" w:type="dxa"/>
            <w:shd w:val="clear" w:color="auto" w:fill="auto"/>
          </w:tcPr>
          <w:p w:rsidR="002A3A41" w:rsidRPr="0022436D" w:rsidRDefault="008B1BDB"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Coverage for treatment of pediatric autoimmune neuropsychiatric disorders associated with streptococcal infections (PANDAS) and pediatric acute-onset neuropsychiatric syndrome (PANS).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Adds </w:t>
            </w:r>
            <w:proofErr w:type="spellStart"/>
            <w:r w:rsidRPr="002A3A41">
              <w:rPr>
                <w:rFonts w:ascii="Times New Roman" w:hAnsi="Times New Roman" w:cs="Times New Roman"/>
              </w:rPr>
              <w:t>subd</w:t>
            </w:r>
            <w:proofErr w:type="spellEnd"/>
            <w:r w:rsidRPr="002A3A41">
              <w:rPr>
                <w:rFonts w:ascii="Times New Roman" w:hAnsi="Times New Roman" w:cs="Times New Roman"/>
              </w:rPr>
              <w:t>. 66 to § 256B.0625. Requires MA to cover treatments for PANDAS or PANS according to protocols developed by the Health Services Policy Committee.</w:t>
            </w:r>
          </w:p>
        </w:tc>
        <w:tc>
          <w:tcPr>
            <w:tcW w:w="5760" w:type="dxa"/>
            <w:shd w:val="clear" w:color="auto" w:fill="auto"/>
          </w:tcPr>
          <w:p w:rsidR="002A3A41" w:rsidRPr="0022436D" w:rsidRDefault="008B1BDB"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 xml:space="preserve">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Adds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67 to § 256B.0625. Lists services for the treatment of 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 xml:space="preserve"> covered by MA.</w:t>
            </w:r>
          </w:p>
        </w:tc>
        <w:tc>
          <w:tcPr>
            <w:tcW w:w="5760" w:type="dxa"/>
            <w:shd w:val="clear" w:color="auto" w:fill="auto"/>
          </w:tcPr>
          <w:p w:rsidR="002A3A41" w:rsidRPr="0022436D" w:rsidRDefault="008B1BDB"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 xml:space="preserve">Access standards; appointment wait times. </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Adds </w:t>
            </w:r>
            <w:proofErr w:type="spellStart"/>
            <w:r w:rsidRPr="002A3A41">
              <w:rPr>
                <w:rFonts w:ascii="Times New Roman" w:hAnsi="Times New Roman" w:cs="Times New Roman"/>
              </w:rPr>
              <w:t>subd</w:t>
            </w:r>
            <w:proofErr w:type="spellEnd"/>
            <w:r w:rsidRPr="002A3A41">
              <w:rPr>
                <w:rFonts w:ascii="Times New Roman" w:hAnsi="Times New Roman" w:cs="Times New Roman"/>
              </w:rPr>
              <w:t>. 6e to § 256B.69. Requires managed care and county-based purchasing plans to comply with the access standards for emergency care and the appointment wait times that apply to HMO enrollees.</w:t>
            </w:r>
          </w:p>
        </w:tc>
        <w:tc>
          <w:tcPr>
            <w:tcW w:w="5760" w:type="dxa"/>
            <w:shd w:val="clear" w:color="auto" w:fill="auto"/>
          </w:tcPr>
          <w:p w:rsidR="002A3A41" w:rsidRPr="0022436D" w:rsidRDefault="008B1BDB"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8E1A7F">
        <w:trPr>
          <w:trHeight w:val="1646"/>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Coordination with state-administered health programs.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Amends § 256L.121, </w:t>
            </w:r>
            <w:proofErr w:type="spellStart"/>
            <w:r w:rsidRPr="002A3A41">
              <w:rPr>
                <w:rFonts w:ascii="Times New Roman" w:hAnsi="Times New Roman" w:cs="Times New Roman"/>
              </w:rPr>
              <w:t>subd</w:t>
            </w:r>
            <w:proofErr w:type="spellEnd"/>
            <w:r w:rsidRPr="002A3A41">
              <w:rPr>
                <w:rFonts w:ascii="Times New Roman" w:hAnsi="Times New Roman" w:cs="Times New Roman"/>
              </w:rPr>
              <w:t xml:space="preserve">. 3. Requires the commissioner of human services to coordinate compliance with appointment wait time standards under the </w:t>
            </w:r>
            <w:proofErr w:type="spellStart"/>
            <w:r w:rsidRPr="002A3A41">
              <w:rPr>
                <w:rFonts w:ascii="Times New Roman" w:hAnsi="Times New Roman" w:cs="Times New Roman"/>
              </w:rPr>
              <w:t>MinnesotaCare</w:t>
            </w:r>
            <w:proofErr w:type="spellEnd"/>
            <w:r w:rsidRPr="002A3A41">
              <w:rPr>
                <w:rFonts w:ascii="Times New Roman" w:hAnsi="Times New Roman" w:cs="Times New Roman"/>
              </w:rPr>
              <w:t xml:space="preserve"> program with the same standards that apply to MA.</w:t>
            </w:r>
          </w:p>
        </w:tc>
        <w:tc>
          <w:tcPr>
            <w:tcW w:w="5760" w:type="dxa"/>
            <w:shd w:val="clear" w:color="auto" w:fill="auto"/>
          </w:tcPr>
          <w:p w:rsidR="002A3A41" w:rsidRPr="0022436D" w:rsidRDefault="008B1BDB"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Nonprofit health care entity; notice and approval required.</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Adds </w:t>
            </w:r>
            <w:proofErr w:type="spellStart"/>
            <w:r w:rsidRPr="002A3A41">
              <w:rPr>
                <w:rFonts w:ascii="Times New Roman" w:hAnsi="Times New Roman" w:cs="Times New Roman"/>
              </w:rPr>
              <w:t>subd</w:t>
            </w:r>
            <w:proofErr w:type="spellEnd"/>
            <w:r w:rsidRPr="002A3A41">
              <w:rPr>
                <w:rFonts w:ascii="Times New Roman" w:hAnsi="Times New Roman" w:cs="Times New Roman"/>
              </w:rPr>
              <w:t>. 1a to § 317A.811. Adds language to a section requiring notice to the attorney general and a waiting period when a nonprofit corporation intends to dissolve, merge, consolidate, convert, or transfer all or substantially all of its assets. This new subdivision requires a nonprofit health care entity to also comply with sections 62D.046 and 62D.047 for certain transactions.</w:t>
            </w:r>
          </w:p>
        </w:tc>
        <w:tc>
          <w:tcPr>
            <w:tcW w:w="5760" w:type="dxa"/>
            <w:shd w:val="clear" w:color="auto" w:fill="auto"/>
          </w:tcPr>
          <w:p w:rsidR="002A3A41" w:rsidRPr="0022436D" w:rsidRDefault="008B1BDB"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Nonprofit health care entity conversions; definitions.</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Adds § 317B.01. Defines terms for sections governing nonprofit health care entity conversion transactions: commissioner, conversion benefit entity, conversion transaction or transaction, corporation, director, family member, full and fair value, key employee, material amount, member, nonprofit health care entity, officer, public benefit assets, and related organization.</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3. Conversion benefit entity.</w:t>
            </w:r>
            <w:r w:rsidRPr="002A3A41">
              <w:rPr>
                <w:rFonts w:ascii="Times New Roman" w:hAnsi="Times New Roman" w:cs="Times New Roman"/>
              </w:rPr>
              <w:t xml:space="preserve"> Defines conversion benefit entity as an entity that receives the value of a nonprofit health care entity’s public benefit assets, in connection with a conversion transaction.</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4. Conversion transaction or transaction.</w:t>
            </w:r>
            <w:r w:rsidRPr="002A3A41">
              <w:rPr>
                <w:rFonts w:ascii="Times New Roman" w:hAnsi="Times New Roman" w:cs="Times New Roman"/>
              </w:rPr>
              <w:t xml:space="preserve"> Defines conversion transaction or transaction as a transaction in which a nonprofit health care entity merges, consolidates, converts, or transfers (singly or in a series of separate transfers) all or a material amount of the nonprofit health </w:t>
            </w:r>
            <w:r w:rsidRPr="002A3A41">
              <w:rPr>
                <w:rFonts w:ascii="Times New Roman" w:hAnsi="Times New Roman" w:cs="Times New Roman"/>
              </w:rPr>
              <w:lastRenderedPageBreak/>
              <w:t>care entity’s assets to an entity that is not a tax-exempt nonprofit corporation operating under chapter 317A or 322C, or in which the nonprofit health care entity adds or substitutes officers, directors, or members in a way that transfers control or governance of the nonprofit health care entity to an entity that is not a tax-exempt nonprofit corporation operating under chapter 317A or 322C.</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5. Corporation. </w:t>
            </w:r>
            <w:r w:rsidRPr="002A3A41">
              <w:rPr>
                <w:rFonts w:ascii="Times New Roman" w:hAnsi="Times New Roman" w:cs="Times New Roman"/>
              </w:rPr>
              <w:t>Defines corporation to mean a nonprofit corporation organized under chapter 317A or a nonprofit limited liability company organized under chapter 322C.</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9. Material amount.</w:t>
            </w:r>
            <w:r w:rsidRPr="002A3A41">
              <w:rPr>
                <w:rFonts w:ascii="Times New Roman" w:hAnsi="Times New Roman" w:cs="Times New Roman"/>
              </w:rPr>
              <w:t xml:space="preserve"> Defines material amount to mean the </w:t>
            </w:r>
            <w:proofErr w:type="gramStart"/>
            <w:r w:rsidRPr="002A3A41">
              <w:rPr>
                <w:rFonts w:ascii="Times New Roman" w:hAnsi="Times New Roman" w:cs="Times New Roman"/>
              </w:rPr>
              <w:t>lesser</w:t>
            </w:r>
            <w:proofErr w:type="gramEnd"/>
            <w:r w:rsidRPr="002A3A41">
              <w:rPr>
                <w:rFonts w:ascii="Times New Roman" w:hAnsi="Times New Roman" w:cs="Times New Roman"/>
              </w:rPr>
              <w:t xml:space="preserve"> of 10 percent of a nonprofit health care entity’s total admitted net assets as of the end of the preceding calendar year, or $10,000,000.</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12. Nonprofit health care entity.</w:t>
            </w:r>
            <w:r w:rsidRPr="002A3A41">
              <w:rPr>
                <w:rFonts w:ascii="Times New Roman" w:hAnsi="Times New Roman" w:cs="Times New Roman"/>
              </w:rPr>
              <w:t xml:space="preserve"> Defines nonprofit health care entity to mean a nonprofit health service plan corporation, a nonprofit health maintenance organization, a nonprofit corporation that can exercise control over a nonprofit health service plan corporation or a nonprofit HMO, or an entity controlled by a corporation operating a nonprofit health service plan corporation or a nonprofit HMO.</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14. Public benefit assets.</w:t>
            </w:r>
            <w:r w:rsidRPr="002A3A41">
              <w:rPr>
                <w:rFonts w:ascii="Times New Roman" w:hAnsi="Times New Roman" w:cs="Times New Roman"/>
              </w:rPr>
              <w:t xml:space="preserve"> Defines public benefit assets as the entirety of a nonprofit health care entity’s tangible or intangible assets, including its goodwill and anticipated future revenue.</w:t>
            </w:r>
          </w:p>
        </w:tc>
        <w:tc>
          <w:tcPr>
            <w:tcW w:w="5760" w:type="dxa"/>
            <w:shd w:val="clear" w:color="auto" w:fill="auto"/>
          </w:tcPr>
          <w:p w:rsidR="002A3A41" w:rsidRPr="0022436D" w:rsidRDefault="008B1BDB"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Nonprofit health care entity conversion transactions; review, notice, approval.</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Adds § 317B.02. Prohibits certain conversion transactions, requires the attorney general to receive notice of a conversion transaction and to review the transaction, requires attorney general approval of conversion transactions, and requires a nonprofit health care entity to transfer the value of its public benefit assets to one or more conversion benefit entities as part of the transaction.</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1. Certain conversion transactions prohibited.</w:t>
            </w:r>
            <w:r w:rsidRPr="002A3A41">
              <w:rPr>
                <w:rFonts w:ascii="Times New Roman" w:hAnsi="Times New Roman" w:cs="Times New Roman"/>
              </w:rPr>
              <w:t xml:space="preserve"> Prohibits a nonprofit health care entity from entering into a conversion transaction if a person who was an officer, director, or key employee of the nonprofit health care entity or of a related organization, or a family member, has received or will receive or has held or will hold one of the listed types of compensation, financial benefit, or financial interest in connection with the conversion transaction.</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2. Attorney general notice required.</w:t>
            </w:r>
            <w:r w:rsidRPr="002A3A41">
              <w:rPr>
                <w:rFonts w:ascii="Times New Roman" w:hAnsi="Times New Roman" w:cs="Times New Roman"/>
              </w:rPr>
              <w:t xml:space="preserve"> Requires a nonprofit health care entity to notify the attorney general as required in section 317A.811 before entering into a conversion transaction. Lists additional information the nonprofit health care entity must provide to the attorney general with the notice. Also requires the nonprofit health care entity to provide the notice and information to the commissioner, along with any other information provided to the attorney general at the attorney general’s request.</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3. Review elements.</w:t>
            </w:r>
            <w:r w:rsidRPr="002A3A41">
              <w:rPr>
                <w:rFonts w:ascii="Times New Roman" w:hAnsi="Times New Roman" w:cs="Times New Roman"/>
              </w:rPr>
              <w:t xml:space="preserve"> Allows the attorney general to approve, conditionally approve, or disapprove a proposed conversion transaction. Requires the attorney general to consider all relevant factors in evaluating whether the proposed transaction is in the public interest, and lists </w:t>
            </w:r>
            <w:r w:rsidRPr="002A3A41">
              <w:rPr>
                <w:rFonts w:ascii="Times New Roman" w:hAnsi="Times New Roman" w:cs="Times New Roman"/>
              </w:rPr>
              <w:lastRenderedPageBreak/>
              <w:t>factors to be considered. Also requires the attorney general to consider public comments received and to consult with the appropriate commissioner before making a decision.</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4. Conversion benefit entity requirements. </w:t>
            </w:r>
            <w:r w:rsidRPr="002A3A41">
              <w:rPr>
                <w:rFonts w:ascii="Times New Roman" w:hAnsi="Times New Roman" w:cs="Times New Roman"/>
              </w:rPr>
              <w:t xml:space="preserve">Paragraph (a) requires a conversion benefit entity to be an existing or new domestic, tax-exempt nonprofit corporation operating under chapter 317A; have in place policies to prohibit conflicts of interest, including conflicts of interest related to </w:t>
            </w:r>
            <w:proofErr w:type="spellStart"/>
            <w:r w:rsidRPr="002A3A41">
              <w:rPr>
                <w:rFonts w:ascii="Times New Roman" w:hAnsi="Times New Roman" w:cs="Times New Roman"/>
              </w:rPr>
              <w:t>grantmaking</w:t>
            </w:r>
            <w:proofErr w:type="spellEnd"/>
            <w:r w:rsidRPr="002A3A41">
              <w:rPr>
                <w:rFonts w:ascii="Times New Roman" w:hAnsi="Times New Roman" w:cs="Times New Roman"/>
              </w:rPr>
              <w:t xml:space="preserve"> activities that may benefit the listed individuals or entities; operate to benefit the health of the people of the state; and have in place policies that prohibit certain individuals from serving in certain positions or benefiting from the conversion transaction.</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Paragraph (b) prohibits a conversion benefit entity from making grants or payments or providing financial benefit to an entity that receives public benefit assets, or to a related organization.</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Paragraph (c) prohibits any person who has been an officer, director, or key employee of an entity receiving public benefit assets from serving as an officer, director, or key employee of the conversion benefit entity.</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Paragraph (d) requires the attorney general to review and approve the governance structure of the conversion benefit entity before it receives the value of public benefit assets.</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Paragraph (e) requires the attorney general to establish a community advisory committee for a conversion benefit entity receiving the value of public benefit assets.</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lastRenderedPageBreak/>
              <w:t>Subd</w:t>
            </w:r>
            <w:proofErr w:type="spellEnd"/>
            <w:r w:rsidRPr="002A3A41">
              <w:rPr>
                <w:rStyle w:val="Heading-Inline"/>
                <w:rFonts w:ascii="Times New Roman" w:hAnsi="Times New Roman" w:cs="Times New Roman"/>
              </w:rPr>
              <w:t>. 5. Hearing; public comment; maintenance of records.</w:t>
            </w:r>
            <w:r w:rsidRPr="002A3A41">
              <w:rPr>
                <w:rFonts w:ascii="Times New Roman" w:hAnsi="Times New Roman" w:cs="Times New Roman"/>
              </w:rPr>
              <w:t xml:space="preserve"> Before issuing a decision, requires the attorney general to hold one or more hearings to solicit public comments regarding the conversion transaction. Establishes a notice requirement for public hearings. Also requires the attorney general to develop a summary of comments received, obtain answers to questions posed, and provide those materials to people who request them.</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6. Approval required; period for approval or disapproval; extension.</w:t>
            </w:r>
            <w:r w:rsidRPr="002A3A41">
              <w:rPr>
                <w:rFonts w:ascii="Times New Roman" w:hAnsi="Times New Roman" w:cs="Times New Roman"/>
              </w:rPr>
              <w:t xml:space="preserve"> Paragraph (a) prohibits a nonprofit health care entity from entering into a conversion transaction until (1) 150 days after providing notice to the attorney general, unless all or part of this waiting period is waived; and (2) the attorney general approves the transaction, or conditionally approves the transaction and the conditions are satisfied.</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Paragraph (b) requires the attorney general to approve, conditionally approve, or disapprove the conversion transaction during the waiting period, requires the attorney general to provide notice of the decision to the nonprofit health care entity, and allows the attorney general to extend the waiting period.</w:t>
            </w:r>
          </w:p>
          <w:p w:rsidR="002A3A41" w:rsidRPr="002A3A41" w:rsidRDefault="002A3A41" w:rsidP="002A3A41">
            <w:pPr>
              <w:pStyle w:val="SubdText"/>
              <w:rPr>
                <w:rFonts w:ascii="Times New Roman" w:hAnsi="Times New Roman" w:cs="Times New Roman"/>
              </w:rPr>
            </w:pPr>
            <w:r w:rsidRPr="002A3A41">
              <w:rPr>
                <w:rFonts w:ascii="Times New Roman" w:hAnsi="Times New Roman" w:cs="Times New Roman"/>
              </w:rPr>
              <w:t>Paragraph (c) suspends the waiting period while a request for additional information is pending.</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7. Transfer of value of assets required. </w:t>
            </w:r>
            <w:r w:rsidRPr="002A3A41">
              <w:rPr>
                <w:rFonts w:ascii="Times New Roman" w:hAnsi="Times New Roman" w:cs="Times New Roman"/>
              </w:rPr>
              <w:t xml:space="preserve">If a proposed conversion transaction is approved or conditionally approved, requires the nonprofit health care entity to transfer the full and fair value of its public benefit </w:t>
            </w:r>
            <w:r w:rsidRPr="002A3A41">
              <w:rPr>
                <w:rFonts w:ascii="Times New Roman" w:hAnsi="Times New Roman" w:cs="Times New Roman"/>
              </w:rPr>
              <w:lastRenderedPageBreak/>
              <w:t>assets to one or more conversion benefit entities as part of the transaction.</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8. Assessment of costs. </w:t>
            </w:r>
            <w:r w:rsidRPr="002A3A41">
              <w:rPr>
                <w:rFonts w:ascii="Times New Roman" w:hAnsi="Times New Roman" w:cs="Times New Roman"/>
              </w:rPr>
              <w:t>Requires the nonprofit health care entity to reimburse the attorney general or a state agency for costs incurred by the attorney general or state agency in reviewing the proposed conversion transaction and exercising enforcement remedies. Specifies what is included in costs, requires submission of a statement of costs, and establishes requirements for the nonprofit health care entity to pay or dispute the costs. Deposits payments made by the nonprofit health care entity into the general fund, and appropriates this money to the attorney general or state agency for costs paid or incurred.</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9. Challenge to disapproval or conditional approval.</w:t>
            </w:r>
            <w:r w:rsidRPr="002A3A41">
              <w:rPr>
                <w:rFonts w:ascii="Times New Roman" w:hAnsi="Times New Roman" w:cs="Times New Roman"/>
              </w:rPr>
              <w:t xml:space="preserve"> Allows a nonprofit health care entity to bring an action in district court to challenge the attorney general’s disapproval or conditional approval, and to prevail, requires the nonprofit health care entity to establish that the decision was arbitrary and capricious and unnecessary to protect the public health.</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10. Penalties; remedies.</w:t>
            </w:r>
            <w:r w:rsidRPr="002A3A41">
              <w:rPr>
                <w:rFonts w:ascii="Times New Roman" w:hAnsi="Times New Roman" w:cs="Times New Roman"/>
              </w:rPr>
              <w:t xml:space="preserve"> Allows the attorney general to bring an action to unwind a conversion transaction that violates subdivision 1, establishes civil penalties, and allows the attorney general to enforce this section under section 8.31.</w:t>
            </w:r>
          </w:p>
          <w:p w:rsidR="002A3A41" w:rsidRPr="002A3A41" w:rsidRDefault="002A3A41" w:rsidP="002A3A41">
            <w:pPr>
              <w:pStyle w:val="SubdText"/>
              <w:rPr>
                <w:rFonts w:ascii="Times New Roman" w:hAnsi="Times New Roman" w:cs="Times New Roman"/>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xml:space="preserve">. 11. Relation to other law. </w:t>
            </w:r>
            <w:r w:rsidRPr="002A3A41">
              <w:rPr>
                <w:rFonts w:ascii="Times New Roman" w:hAnsi="Times New Roman" w:cs="Times New Roman"/>
              </w:rPr>
              <w:t xml:space="preserve">Provides that this section does not affect or limit a power, remedy, or responsibility of an HMO, service plan corporation, conversion benefit entity, the attorney general, the commissioner of commerce, </w:t>
            </w:r>
            <w:r w:rsidRPr="002A3A41">
              <w:rPr>
                <w:rFonts w:ascii="Times New Roman" w:hAnsi="Times New Roman" w:cs="Times New Roman"/>
              </w:rPr>
              <w:lastRenderedPageBreak/>
              <w:t>or the commissioner of health under other law. Also states that this section does not allow a nonprofit health care entity to enter into a conversion transaction prohibited under other law.</w:t>
            </w:r>
          </w:p>
        </w:tc>
        <w:tc>
          <w:tcPr>
            <w:tcW w:w="5760" w:type="dxa"/>
            <w:shd w:val="clear" w:color="auto" w:fill="auto"/>
          </w:tcPr>
          <w:p w:rsidR="002A3A41" w:rsidRPr="0022436D" w:rsidRDefault="008B1BDB" w:rsidP="002A3A41">
            <w:pPr>
              <w:pStyle w:val="Sectionnumber"/>
              <w:numPr>
                <w:ilvl w:val="0"/>
                <w:numId w:val="0"/>
              </w:numPr>
              <w:rPr>
                <w:bCs/>
                <w:szCs w:val="24"/>
              </w:rPr>
            </w:pPr>
            <w:r>
              <w:rPr>
                <w:bCs/>
                <w:szCs w:val="24"/>
              </w:rPr>
              <w:lastRenderedPageBreak/>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Moratorium on conversion transactions.</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Amends Laws 2017 first special session chapter 6, article 5, </w:t>
            </w:r>
            <w:proofErr w:type="gramStart"/>
            <w:r w:rsidRPr="002A3A41">
              <w:rPr>
                <w:rFonts w:ascii="Times New Roman" w:hAnsi="Times New Roman" w:cs="Times New Roman"/>
              </w:rPr>
              <w:t>section</w:t>
            </w:r>
            <w:proofErr w:type="gramEnd"/>
            <w:r w:rsidRPr="002A3A41">
              <w:rPr>
                <w:rFonts w:ascii="Times New Roman" w:hAnsi="Times New Roman" w:cs="Times New Roman"/>
              </w:rPr>
              <w:t xml:space="preserve"> 11. Extends the existing moratorium on conversion transactions for nonprofit service plan corporations and nonprofit health maintenance organizations from June 30, 2019, to June 30, 2029. Provides that an entity subject to this section includes a parent, subsidiary, or affiliate of a nonprofit HMO or nonprofit service plan corporation. Also provides that the transactions governed by this section include a transfer of a material amount of the entity’s assets as part of a single transaction or a series of transactions within the past 24 months, and defines material amount as the lesser of 10 percent of the entity’s total admitted net assets as of the previous December 31, or $10,000,000. Makes this section effective the day following final enactment.</w:t>
            </w:r>
          </w:p>
        </w:tc>
        <w:tc>
          <w:tcPr>
            <w:tcW w:w="5760" w:type="dxa"/>
            <w:shd w:val="clear" w:color="auto" w:fill="auto"/>
          </w:tcPr>
          <w:p w:rsidR="00151B64" w:rsidRDefault="00151B64" w:rsidP="00151B64">
            <w:pPr>
              <w:rPr>
                <w:b/>
              </w:rPr>
            </w:pPr>
            <w:r>
              <w:rPr>
                <w:b/>
              </w:rPr>
              <w:t>Differences in paragraph (a):</w:t>
            </w:r>
          </w:p>
          <w:p w:rsidR="00151B64" w:rsidRPr="00151B64" w:rsidRDefault="00151B64" w:rsidP="00151B64">
            <w:pPr>
              <w:pStyle w:val="ListParagraph"/>
              <w:numPr>
                <w:ilvl w:val="0"/>
                <w:numId w:val="5"/>
              </w:numPr>
              <w:rPr>
                <w:rFonts w:ascii="Times New Roman" w:hAnsi="Times New Roman" w:cs="Times New Roman"/>
                <w:b/>
                <w:sz w:val="24"/>
                <w:szCs w:val="24"/>
              </w:rPr>
            </w:pPr>
            <w:r w:rsidRPr="00151B64">
              <w:rPr>
                <w:rFonts w:ascii="Times New Roman" w:hAnsi="Times New Roman" w:cs="Times New Roman"/>
                <w:b/>
                <w:sz w:val="24"/>
                <w:szCs w:val="24"/>
              </w:rPr>
              <w:t xml:space="preserve">House makes a direct or indirect parent, subsidiary, or other affiliate of a service plan corporation or nonprofit HMO subject to the moratorium and Senate does not. </w:t>
            </w:r>
          </w:p>
          <w:p w:rsidR="00151B64" w:rsidRPr="00151B64" w:rsidRDefault="00151B64" w:rsidP="00151B64">
            <w:pPr>
              <w:pStyle w:val="ListParagraph"/>
              <w:numPr>
                <w:ilvl w:val="0"/>
                <w:numId w:val="5"/>
              </w:numPr>
              <w:rPr>
                <w:rFonts w:ascii="Times New Roman" w:hAnsi="Times New Roman" w:cs="Times New Roman"/>
                <w:b/>
                <w:sz w:val="24"/>
                <w:szCs w:val="24"/>
              </w:rPr>
            </w:pPr>
            <w:r w:rsidRPr="00151B64">
              <w:rPr>
                <w:rFonts w:ascii="Times New Roman" w:hAnsi="Times New Roman" w:cs="Times New Roman"/>
                <w:b/>
                <w:sz w:val="24"/>
                <w:szCs w:val="24"/>
              </w:rPr>
              <w:t xml:space="preserve">House specifies that a transfer in a single transaction or a series of transactions within a 24-month period is subject to the moratorium and Senate does not. </w:t>
            </w:r>
          </w:p>
          <w:p w:rsidR="00151B64" w:rsidRDefault="00151B64" w:rsidP="00151B64">
            <w:pPr>
              <w:pStyle w:val="ListParagraph"/>
              <w:numPr>
                <w:ilvl w:val="0"/>
                <w:numId w:val="5"/>
              </w:numPr>
              <w:spacing w:after="100" w:afterAutospacing="1"/>
              <w:rPr>
                <w:rFonts w:ascii="Times New Roman" w:hAnsi="Times New Roman" w:cs="Times New Roman"/>
                <w:b/>
                <w:sz w:val="24"/>
                <w:szCs w:val="24"/>
              </w:rPr>
            </w:pPr>
            <w:r w:rsidRPr="00151B64">
              <w:rPr>
                <w:rFonts w:ascii="Times New Roman" w:hAnsi="Times New Roman" w:cs="Times New Roman"/>
                <w:b/>
                <w:sz w:val="24"/>
                <w:szCs w:val="24"/>
              </w:rPr>
              <w:t>House only allows transfers of all or a material amount of assets to a nonprofit corporation and defines material amount. Senate only allows transfers of all or a substantial portion of assets to a nonprofit corporation or to a nonprofit hospital within the same health system as the HMO.</w:t>
            </w:r>
          </w:p>
          <w:p w:rsidR="00151B64" w:rsidRDefault="00151B64" w:rsidP="00151B64">
            <w:pPr>
              <w:spacing w:before="100" w:beforeAutospacing="1" w:after="100" w:afterAutospacing="1"/>
              <w:rPr>
                <w:b/>
              </w:rPr>
            </w:pPr>
            <w:r>
              <w:rPr>
                <w:b/>
              </w:rPr>
              <w:t>Paragraph (b): Identical</w:t>
            </w:r>
          </w:p>
          <w:p w:rsidR="00151B64" w:rsidRDefault="000009FF" w:rsidP="00151B64">
            <w:pPr>
              <w:spacing w:before="100" w:beforeAutospacing="1" w:after="100" w:afterAutospacing="1"/>
              <w:rPr>
                <w:b/>
              </w:rPr>
            </w:pPr>
            <w:r>
              <w:rPr>
                <w:b/>
              </w:rPr>
              <w:t xml:space="preserve">Paragraph (c): </w:t>
            </w:r>
            <w:r w:rsidR="00151B64">
              <w:rPr>
                <w:b/>
              </w:rPr>
              <w:t>technical difference, staff recommends House.</w:t>
            </w:r>
          </w:p>
          <w:p w:rsidR="002A3A41" w:rsidRPr="0022436D" w:rsidRDefault="00151B64" w:rsidP="000009FF">
            <w:pPr>
              <w:pStyle w:val="Sectionnumber"/>
              <w:numPr>
                <w:ilvl w:val="0"/>
                <w:numId w:val="0"/>
              </w:numPr>
              <w:spacing w:after="240" w:afterAutospacing="0"/>
              <w:rPr>
                <w:bCs/>
                <w:szCs w:val="24"/>
              </w:rPr>
            </w:pPr>
            <w:r>
              <w:t>Paragraph (d): House makes section expire in 2029, Senate makes section expire in 2023.</w:t>
            </w:r>
          </w:p>
        </w:tc>
        <w:tc>
          <w:tcPr>
            <w:tcW w:w="6102" w:type="dxa"/>
            <w:shd w:val="clear" w:color="auto" w:fill="auto"/>
          </w:tcPr>
          <w:p w:rsidR="002A3A41" w:rsidRPr="008B1BDB" w:rsidRDefault="008B1BDB" w:rsidP="002A3A41">
            <w:pPr>
              <w:pStyle w:val="Sectionnumber"/>
              <w:numPr>
                <w:ilvl w:val="0"/>
                <w:numId w:val="0"/>
              </w:numPr>
              <w:rPr>
                <w:bCs/>
                <w:szCs w:val="24"/>
              </w:rPr>
            </w:pPr>
            <w:r w:rsidRPr="008B1BDB">
              <w:t>Section 10</w:t>
            </w:r>
            <w:r>
              <w:t xml:space="preserve">, Laws 2017, First Special Session chapter 6, article 5, section 11 </w:t>
            </w:r>
            <w:r w:rsidRPr="008B1BDB">
              <w:t>(Moratorium on Conversion Transaction</w:t>
            </w:r>
            <w:r w:rsidRPr="008B1BDB">
              <w:rPr>
                <w:b w:val="0"/>
              </w:rPr>
              <w:t>s</w:t>
            </w:r>
            <w:r w:rsidRPr="008B1BDB">
              <w:t>)</w:t>
            </w:r>
            <w:r w:rsidRPr="008B1BDB">
              <w:rPr>
                <w:b w:val="0"/>
              </w:rPr>
              <w:t xml:space="preserve"> extends the moratorium on conversion transactions by a nonprofit health maintenance organization or a nonprofit services plan corporation to an entity other than a nonprofit corporation or a nonprofit hospital that is part of the same integrated health system for four more years until July 1, 2023.</w:t>
            </w: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Findings.</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Establishes legislative findings regarding nonprofit health care entities and their assets, and states that it is necessary for the attorney general to approve a nonprofit health care entity’s transfer of assets to ensure the public interest is protected.</w:t>
            </w:r>
          </w:p>
        </w:tc>
        <w:tc>
          <w:tcPr>
            <w:tcW w:w="5760" w:type="dxa"/>
            <w:shd w:val="clear" w:color="auto" w:fill="auto"/>
          </w:tcPr>
          <w:p w:rsidR="002A3A41" w:rsidRPr="0022436D" w:rsidRDefault="008B1BDB"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Report; denials of coverage for treatment for pediatric autoimmune neuropsychiatric disorders associated with streptococcal infections (PANDAS) and pediatric acute-onset neuropsychiatric syndrome (PANS).</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1. Definitions.</w:t>
            </w:r>
            <w:r w:rsidRPr="002A3A41">
              <w:rPr>
                <w:rFonts w:ascii="Times New Roman" w:hAnsi="Times New Roman" w:cs="Times New Roman"/>
              </w:rPr>
              <w:t xml:space="preserve"> Provides definitions for health carrier, health plan, PANDAS, and PANS.</w:t>
            </w:r>
          </w:p>
          <w:p w:rsidR="002A3A41" w:rsidRPr="002A3A41" w:rsidRDefault="002A3A41" w:rsidP="002A3A41">
            <w:pPr>
              <w:pStyle w:val="SubdText"/>
              <w:rPr>
                <w:rFonts w:ascii="Times New Roman" w:hAnsi="Times New Roman" w:cs="Times New Roman"/>
                <w:b/>
              </w:rPr>
            </w:pPr>
            <w:proofErr w:type="spellStart"/>
            <w:r w:rsidRPr="002A3A41">
              <w:rPr>
                <w:rStyle w:val="Heading-Inline"/>
                <w:rFonts w:ascii="Times New Roman" w:hAnsi="Times New Roman" w:cs="Times New Roman"/>
              </w:rPr>
              <w:t>Subd</w:t>
            </w:r>
            <w:proofErr w:type="spellEnd"/>
            <w:r w:rsidRPr="002A3A41">
              <w:rPr>
                <w:rStyle w:val="Heading-Inline"/>
                <w:rFonts w:ascii="Times New Roman" w:hAnsi="Times New Roman" w:cs="Times New Roman"/>
              </w:rPr>
              <w:t>. 2. Report required.</w:t>
            </w:r>
            <w:r w:rsidRPr="002A3A41">
              <w:rPr>
                <w:rFonts w:ascii="Times New Roman" w:hAnsi="Times New Roman" w:cs="Times New Roman"/>
              </w:rPr>
              <w:t xml:space="preserve"> Requires health carriers that offer health plans to Minnesota residents to report to the commissioner of health the number of times they deny coverage for the treatment of PANDAS and PANS, and the specific treatment for which coverage was denied. Requires the commissioner of health to post a report with this information to the department’s website by November 1, 2019.</w:t>
            </w:r>
          </w:p>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b w:val="0"/>
              </w:rPr>
              <w:t>Effective date. This section is effective the day following final enactment.</w:t>
            </w:r>
          </w:p>
        </w:tc>
        <w:tc>
          <w:tcPr>
            <w:tcW w:w="5760" w:type="dxa"/>
            <w:shd w:val="clear" w:color="auto" w:fill="auto"/>
          </w:tcPr>
          <w:p w:rsidR="002A3A41" w:rsidRPr="0022436D" w:rsidRDefault="008B1BDB"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r w:rsidRPr="002A3A41">
              <w:rPr>
                <w:rFonts w:ascii="Times New Roman" w:hAnsi="Times New Roman" w:cs="Times New Roman"/>
              </w:rPr>
              <w:t xml:space="preserve">Coverage for 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 xml:space="preserve"> and PANDAS or PANS.</w:t>
            </w:r>
          </w:p>
          <w:p w:rsidR="002A3A41" w:rsidRPr="002A3A41" w:rsidRDefault="002A3A41" w:rsidP="002A3A41">
            <w:pPr>
              <w:pStyle w:val="BodyText"/>
              <w:rPr>
                <w:rFonts w:ascii="Times New Roman" w:hAnsi="Times New Roman" w:cs="Times New Roman"/>
              </w:rPr>
            </w:pPr>
            <w:r w:rsidRPr="002A3A41">
              <w:rPr>
                <w:rFonts w:ascii="Times New Roman" w:hAnsi="Times New Roman" w:cs="Times New Roman"/>
              </w:rPr>
              <w:t xml:space="preserve">Requires a health carrier to use a health plan’s coverage as of January 1, 2019, to determine whether the health carrier would not have provided coverage for ectodermal </w:t>
            </w:r>
            <w:proofErr w:type="spellStart"/>
            <w:r w:rsidRPr="002A3A41">
              <w:rPr>
                <w:rFonts w:ascii="Times New Roman" w:hAnsi="Times New Roman" w:cs="Times New Roman"/>
              </w:rPr>
              <w:t>dysplasias</w:t>
            </w:r>
            <w:proofErr w:type="spellEnd"/>
            <w:r w:rsidRPr="002A3A41">
              <w:rPr>
                <w:rFonts w:ascii="Times New Roman" w:hAnsi="Times New Roman" w:cs="Times New Roman"/>
              </w:rPr>
              <w:t>, PANDAS, or PANS, and states that treatments and services covered by a health plan as of January 1, 2019, are not eligible for reimbursement by the commissioner of commerce.</w:t>
            </w:r>
          </w:p>
        </w:tc>
        <w:tc>
          <w:tcPr>
            <w:tcW w:w="5760" w:type="dxa"/>
            <w:shd w:val="clear" w:color="auto" w:fill="auto"/>
          </w:tcPr>
          <w:p w:rsidR="002A3A41" w:rsidRPr="0022436D" w:rsidRDefault="00976FE3"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proofErr w:type="spellStart"/>
            <w:r w:rsidRPr="002A3A41">
              <w:rPr>
                <w:rFonts w:ascii="Times New Roman" w:hAnsi="Times New Roman" w:cs="Times New Roman"/>
              </w:rPr>
              <w:t>Revisor</w:t>
            </w:r>
            <w:proofErr w:type="spellEnd"/>
            <w:r w:rsidRPr="002A3A41">
              <w:rPr>
                <w:rFonts w:ascii="Times New Roman" w:hAnsi="Times New Roman" w:cs="Times New Roman"/>
              </w:rPr>
              <w:t xml:space="preserve"> instruction.</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 xml:space="preserve">Directs the </w:t>
            </w:r>
            <w:proofErr w:type="spellStart"/>
            <w:r w:rsidRPr="002A3A41">
              <w:rPr>
                <w:rFonts w:ascii="Times New Roman" w:hAnsi="Times New Roman" w:cs="Times New Roman"/>
              </w:rPr>
              <w:t>revisor</w:t>
            </w:r>
            <w:proofErr w:type="spellEnd"/>
            <w:r w:rsidRPr="002A3A41">
              <w:rPr>
                <w:rFonts w:ascii="Times New Roman" w:hAnsi="Times New Roman" w:cs="Times New Roman"/>
              </w:rPr>
              <w:t xml:space="preserve"> to codify the moratorium on conversion transactions section in chapter 62D (the chapter governing HMOs).</w:t>
            </w:r>
          </w:p>
        </w:tc>
        <w:tc>
          <w:tcPr>
            <w:tcW w:w="5760" w:type="dxa"/>
            <w:shd w:val="clear" w:color="auto" w:fill="auto"/>
          </w:tcPr>
          <w:p w:rsidR="002A3A41" w:rsidRPr="0022436D" w:rsidRDefault="00976FE3"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r w:rsidR="002A3A41" w:rsidRPr="0022436D" w:rsidTr="00B23963">
        <w:trPr>
          <w:jc w:val="center"/>
        </w:trPr>
        <w:tc>
          <w:tcPr>
            <w:tcW w:w="1048" w:type="dxa"/>
            <w:shd w:val="clear" w:color="auto" w:fill="auto"/>
            <w:tcMar>
              <w:right w:w="43" w:type="dxa"/>
            </w:tcMar>
          </w:tcPr>
          <w:p w:rsidR="002A3A41" w:rsidRPr="00B23963" w:rsidRDefault="002A3A41" w:rsidP="005F30E6">
            <w:pPr>
              <w:pStyle w:val="Sectionnumber"/>
              <w:numPr>
                <w:ilvl w:val="0"/>
                <w:numId w:val="2"/>
              </w:numPr>
              <w:ind w:left="412"/>
            </w:pPr>
          </w:p>
        </w:tc>
        <w:tc>
          <w:tcPr>
            <w:tcW w:w="6210" w:type="dxa"/>
            <w:shd w:val="clear" w:color="auto" w:fill="auto"/>
          </w:tcPr>
          <w:p w:rsidR="002A3A41" w:rsidRPr="002A3A41" w:rsidRDefault="002A3A41" w:rsidP="002A3A41">
            <w:pPr>
              <w:pStyle w:val="Headnote"/>
              <w:rPr>
                <w:rFonts w:ascii="Times New Roman" w:hAnsi="Times New Roman" w:cs="Times New Roman"/>
              </w:rPr>
            </w:pPr>
            <w:proofErr w:type="spellStart"/>
            <w:r w:rsidRPr="002A3A41">
              <w:rPr>
                <w:rFonts w:ascii="Times New Roman" w:hAnsi="Times New Roman" w:cs="Times New Roman"/>
              </w:rPr>
              <w:t>Repealer</w:t>
            </w:r>
            <w:proofErr w:type="spellEnd"/>
            <w:r w:rsidRPr="002A3A41">
              <w:rPr>
                <w:rFonts w:ascii="Times New Roman" w:hAnsi="Times New Roman" w:cs="Times New Roman"/>
              </w:rPr>
              <w:t>.</w:t>
            </w:r>
          </w:p>
          <w:p w:rsidR="002A3A41" w:rsidRPr="002A3A41" w:rsidRDefault="002A3A41" w:rsidP="002A3A41">
            <w:pPr>
              <w:pStyle w:val="BodyText"/>
              <w:rPr>
                <w:rFonts w:ascii="Times New Roman" w:hAnsi="Times New Roman" w:cs="Times New Roman"/>
                <w:b/>
              </w:rPr>
            </w:pPr>
            <w:r w:rsidRPr="002A3A41">
              <w:rPr>
                <w:rFonts w:ascii="Times New Roman" w:hAnsi="Times New Roman" w:cs="Times New Roman"/>
              </w:rPr>
              <w:t>Repeals Minnesota Statutes, section 62A.021, subdivisions 1 and 3 (loss ratio standards, loss ratio disclosure).</w:t>
            </w:r>
          </w:p>
        </w:tc>
        <w:tc>
          <w:tcPr>
            <w:tcW w:w="5760" w:type="dxa"/>
            <w:shd w:val="clear" w:color="auto" w:fill="auto"/>
          </w:tcPr>
          <w:p w:rsidR="002A3A41" w:rsidRPr="0022436D" w:rsidRDefault="00976FE3" w:rsidP="002A3A41">
            <w:pPr>
              <w:pStyle w:val="Sectionnumber"/>
              <w:numPr>
                <w:ilvl w:val="0"/>
                <w:numId w:val="0"/>
              </w:numPr>
              <w:rPr>
                <w:bCs/>
                <w:szCs w:val="24"/>
              </w:rPr>
            </w:pPr>
            <w:r>
              <w:rPr>
                <w:bCs/>
                <w:szCs w:val="24"/>
              </w:rPr>
              <w:t>House only</w:t>
            </w:r>
          </w:p>
        </w:tc>
        <w:tc>
          <w:tcPr>
            <w:tcW w:w="6102" w:type="dxa"/>
            <w:shd w:val="clear" w:color="auto" w:fill="auto"/>
          </w:tcPr>
          <w:p w:rsidR="002A3A41" w:rsidRPr="0022436D" w:rsidRDefault="002A3A41" w:rsidP="002A3A41">
            <w:pPr>
              <w:pStyle w:val="Sectionnumber"/>
              <w:numPr>
                <w:ilvl w:val="0"/>
                <w:numId w:val="0"/>
              </w:numPr>
              <w:rPr>
                <w:bCs/>
                <w:szCs w:val="24"/>
              </w:rPr>
            </w:pPr>
          </w:p>
        </w:tc>
      </w:tr>
    </w:tbl>
    <w:p w:rsidR="00F417BC" w:rsidRPr="00827C84" w:rsidRDefault="00F417BC" w:rsidP="00EF43DC"/>
    <w:sectPr w:rsidR="00F417BC" w:rsidRPr="00827C84" w:rsidSect="0022436D">
      <w:headerReference w:type="default" r:id="rId8"/>
      <w:footerReference w:type="first" r:id="rId9"/>
      <w:pgSz w:w="20160" w:h="12240" w:orient="landscape" w:code="5"/>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854" w:rsidRPr="0022436D" w:rsidRDefault="00066854" w:rsidP="0022436D">
      <w:pPr>
        <w:pStyle w:val="Sectionnumber"/>
        <w:spacing w:before="0" w:after="0"/>
        <w:rPr>
          <w:b w:val="0"/>
        </w:rPr>
      </w:pPr>
      <w:r>
        <w:separator/>
      </w:r>
    </w:p>
  </w:endnote>
  <w:endnote w:type="continuationSeparator" w:id="0">
    <w:p w:rsidR="00066854" w:rsidRPr="0022436D" w:rsidRDefault="00066854" w:rsidP="0022436D">
      <w:pPr>
        <w:pStyle w:val="Sectionnumber"/>
        <w:spacing w:before="0" w:after="0"/>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BDB" w:rsidRDefault="008B1BDB">
    <w:pPr>
      <w:pStyle w:val="Footer"/>
    </w:pPr>
    <w:r>
      <w:t xml:space="preserve">Updated </w:t>
    </w:r>
    <w:r w:rsidR="00C65794">
      <w:t xml:space="preserve">by House Research: </w:t>
    </w:r>
    <w:r>
      <w:t xml:space="preserve">May </w:t>
    </w:r>
    <w:r w:rsidR="00C65794">
      <w:t>5, 2019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854" w:rsidRPr="0022436D" w:rsidRDefault="00066854" w:rsidP="0022436D">
      <w:pPr>
        <w:pStyle w:val="Sectionnumber"/>
        <w:spacing w:before="0" w:after="0"/>
        <w:rPr>
          <w:b w:val="0"/>
        </w:rPr>
      </w:pPr>
      <w:r>
        <w:separator/>
      </w:r>
    </w:p>
  </w:footnote>
  <w:footnote w:type="continuationSeparator" w:id="0">
    <w:p w:rsidR="00066854" w:rsidRPr="0022436D" w:rsidRDefault="00066854" w:rsidP="0022436D">
      <w:pPr>
        <w:pStyle w:val="Sectionnumber"/>
        <w:spacing w:before="0" w:after="0"/>
        <w:rPr>
          <w:b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6D" w:rsidRDefault="0022436D" w:rsidP="0022436D">
    <w:pPr>
      <w:pStyle w:val="Header"/>
      <w:tabs>
        <w:tab w:val="right" w:pos="18720"/>
      </w:tabs>
      <w:rPr>
        <w:sz w:val="20"/>
      </w:rPr>
    </w:pPr>
    <w:r>
      <w:rPr>
        <w:sz w:val="20"/>
      </w:rPr>
      <w:t xml:space="preserve">Bill Summary Comparison of House File </w:t>
    </w:r>
    <w:r w:rsidR="005C11FF">
      <w:rPr>
        <w:sz w:val="20"/>
      </w:rPr>
      <w:t>2414-2</w:t>
    </w:r>
    <w:r>
      <w:rPr>
        <w:sz w:val="20"/>
      </w:rPr>
      <w:t>/Senate File</w:t>
    </w:r>
    <w:r w:rsidR="00FC2B1F">
      <w:rPr>
        <w:sz w:val="20"/>
      </w:rPr>
      <w:t xml:space="preserve"> UEH2414-1</w:t>
    </w:r>
    <w:r>
      <w:rPr>
        <w:sz w:val="20"/>
      </w:rPr>
      <w:tab/>
    </w:r>
    <w:r>
      <w:rPr>
        <w:sz w:val="20"/>
      </w:rPr>
      <w:tab/>
    </w:r>
    <w:r w:rsidR="00125680">
      <w:rPr>
        <w:sz w:val="20"/>
      </w:rPr>
      <w:fldChar w:fldCharType="begin"/>
    </w:r>
    <w:r>
      <w:rPr>
        <w:sz w:val="20"/>
      </w:rPr>
      <w:instrText xml:space="preserve"> DATE  \@ "MMMM d, yyyy"  \* MERGEFORMAT </w:instrText>
    </w:r>
    <w:r w:rsidR="00125680">
      <w:rPr>
        <w:sz w:val="20"/>
      </w:rPr>
      <w:fldChar w:fldCharType="separate"/>
    </w:r>
    <w:r w:rsidR="00CF7F39">
      <w:rPr>
        <w:noProof/>
        <w:sz w:val="20"/>
      </w:rPr>
      <w:t>May 6, 2019</w:t>
    </w:r>
    <w:r w:rsidR="00125680">
      <w:rPr>
        <w:sz w:val="20"/>
      </w:rPr>
      <w:fldChar w:fldCharType="end"/>
    </w:r>
  </w:p>
  <w:p w:rsidR="009C784A" w:rsidRDefault="0022436D" w:rsidP="0022436D">
    <w:pPr>
      <w:pStyle w:val="Header"/>
      <w:tabs>
        <w:tab w:val="clear" w:pos="4680"/>
        <w:tab w:val="left" w:pos="3600"/>
        <w:tab w:val="right" w:pos="18720"/>
      </w:tabs>
      <w:rPr>
        <w:sz w:val="20"/>
      </w:rPr>
    </w:pPr>
    <w:r>
      <w:rPr>
        <w:sz w:val="20"/>
      </w:rPr>
      <w:tab/>
    </w:r>
    <w:r>
      <w:rPr>
        <w:sz w:val="20"/>
      </w:rPr>
      <w:tab/>
    </w:r>
    <w:r>
      <w:rPr>
        <w:sz w:val="20"/>
      </w:rPr>
      <w:tab/>
      <w:t xml:space="preserve">Page </w:t>
    </w:r>
    <w:r w:rsidR="00125680">
      <w:rPr>
        <w:sz w:val="20"/>
      </w:rPr>
      <w:fldChar w:fldCharType="begin"/>
    </w:r>
    <w:r>
      <w:rPr>
        <w:sz w:val="20"/>
      </w:rPr>
      <w:instrText xml:space="preserve"> PAGE  \* Arabic  \* MERGEFORMAT </w:instrText>
    </w:r>
    <w:r w:rsidR="00125680">
      <w:rPr>
        <w:sz w:val="20"/>
      </w:rPr>
      <w:fldChar w:fldCharType="separate"/>
    </w:r>
    <w:r w:rsidR="00CF7F39">
      <w:rPr>
        <w:noProof/>
        <w:sz w:val="20"/>
      </w:rPr>
      <w:t>11</w:t>
    </w:r>
    <w:r w:rsidR="00125680">
      <w:rPr>
        <w:sz w:val="20"/>
      </w:rPr>
      <w:fldChar w:fldCharType="end"/>
    </w:r>
  </w:p>
  <w:p w:rsidR="00816428" w:rsidRDefault="00816428" w:rsidP="0022436D">
    <w:pPr>
      <w:pStyle w:val="Header"/>
      <w:tabs>
        <w:tab w:val="clear" w:pos="4680"/>
        <w:tab w:val="left" w:pos="3600"/>
        <w:tab w:val="right" w:pos="18720"/>
      </w:tabs>
      <w:rPr>
        <w:sz w:val="20"/>
      </w:rPr>
    </w:pPr>
  </w:p>
  <w:p w:rsidR="0022436D" w:rsidRPr="0022436D" w:rsidRDefault="0022436D" w:rsidP="0022436D">
    <w:pPr>
      <w:pStyle w:val="Header"/>
      <w:tabs>
        <w:tab w:val="clear" w:pos="4680"/>
        <w:tab w:val="left" w:pos="3420"/>
        <w:tab w:val="left" w:pos="15480"/>
        <w:tab w:val="right" w:pos="18720"/>
      </w:tabs>
      <w:spacing w:after="120"/>
      <w:rPr>
        <w:szCs w:val="24"/>
      </w:rPr>
    </w:pPr>
    <w:r>
      <w:rPr>
        <w:sz w:val="20"/>
      </w:rPr>
      <w:tab/>
    </w:r>
    <w:r w:rsidRPr="0022436D">
      <w:rPr>
        <w:szCs w:val="24"/>
      </w:rPr>
      <w:t>HOUSE</w:t>
    </w:r>
    <w:r w:rsidRPr="0022436D">
      <w:rPr>
        <w:szCs w:val="24"/>
      </w:rPr>
      <w:tab/>
    </w:r>
    <w:r w:rsidRPr="0022436D">
      <w:rPr>
        <w:szCs w:val="24"/>
      </w:rPr>
      <w:tab/>
    </w:r>
    <w:r>
      <w:rPr>
        <w:szCs w:val="24"/>
      </w:rPr>
      <w:t>SENATE</w:t>
    </w:r>
    <w:r w:rsidRPr="0022436D">
      <w:rPr>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AC6F00"/>
    <w:multiLevelType w:val="hybridMultilevel"/>
    <w:tmpl w:val="2BE2F592"/>
    <w:lvl w:ilvl="0" w:tplc="D0366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D0161"/>
    <w:multiLevelType w:val="hybridMultilevel"/>
    <w:tmpl w:val="33D6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F6FAF"/>
    <w:multiLevelType w:val="hybridMultilevel"/>
    <w:tmpl w:val="D9C2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FF"/>
    <w:rsid w:val="000009FF"/>
    <w:rsid w:val="00066854"/>
    <w:rsid w:val="00081FBF"/>
    <w:rsid w:val="00117598"/>
    <w:rsid w:val="00125680"/>
    <w:rsid w:val="00151B64"/>
    <w:rsid w:val="001C72E0"/>
    <w:rsid w:val="001F5096"/>
    <w:rsid w:val="0022436D"/>
    <w:rsid w:val="00225538"/>
    <w:rsid w:val="002A3A41"/>
    <w:rsid w:val="002C048E"/>
    <w:rsid w:val="002C486D"/>
    <w:rsid w:val="00367738"/>
    <w:rsid w:val="00373772"/>
    <w:rsid w:val="00382B93"/>
    <w:rsid w:val="003E62AF"/>
    <w:rsid w:val="00427695"/>
    <w:rsid w:val="004B4131"/>
    <w:rsid w:val="004F5222"/>
    <w:rsid w:val="005C11FF"/>
    <w:rsid w:val="005C7395"/>
    <w:rsid w:val="005D4CBB"/>
    <w:rsid w:val="005F30E6"/>
    <w:rsid w:val="0065619B"/>
    <w:rsid w:val="00691F41"/>
    <w:rsid w:val="00697AE4"/>
    <w:rsid w:val="006E287A"/>
    <w:rsid w:val="0072683D"/>
    <w:rsid w:val="00777176"/>
    <w:rsid w:val="007836EF"/>
    <w:rsid w:val="00787E77"/>
    <w:rsid w:val="007C738B"/>
    <w:rsid w:val="007E120B"/>
    <w:rsid w:val="00803A62"/>
    <w:rsid w:val="00816428"/>
    <w:rsid w:val="00827C84"/>
    <w:rsid w:val="008B1BDB"/>
    <w:rsid w:val="008C7930"/>
    <w:rsid w:val="008D0C57"/>
    <w:rsid w:val="008D13E3"/>
    <w:rsid w:val="008D3311"/>
    <w:rsid w:val="008E1A7F"/>
    <w:rsid w:val="00923C58"/>
    <w:rsid w:val="0095325A"/>
    <w:rsid w:val="00965FC5"/>
    <w:rsid w:val="00976FE3"/>
    <w:rsid w:val="009C784A"/>
    <w:rsid w:val="00A67E95"/>
    <w:rsid w:val="00AB3B3E"/>
    <w:rsid w:val="00B23963"/>
    <w:rsid w:val="00B52998"/>
    <w:rsid w:val="00BC1665"/>
    <w:rsid w:val="00C5660F"/>
    <w:rsid w:val="00C65794"/>
    <w:rsid w:val="00CB46E6"/>
    <w:rsid w:val="00CE1714"/>
    <w:rsid w:val="00CF7F39"/>
    <w:rsid w:val="00D0088B"/>
    <w:rsid w:val="00D2127E"/>
    <w:rsid w:val="00D256C0"/>
    <w:rsid w:val="00D2673A"/>
    <w:rsid w:val="00D355C2"/>
    <w:rsid w:val="00D421EA"/>
    <w:rsid w:val="00D77E0B"/>
    <w:rsid w:val="00DB2F7E"/>
    <w:rsid w:val="00E128AC"/>
    <w:rsid w:val="00E64ED6"/>
    <w:rsid w:val="00ED0C0E"/>
    <w:rsid w:val="00EF43DC"/>
    <w:rsid w:val="00EF5B38"/>
    <w:rsid w:val="00F24F97"/>
    <w:rsid w:val="00F417BC"/>
    <w:rsid w:val="00F5202C"/>
    <w:rsid w:val="00F6502E"/>
    <w:rsid w:val="00FB0969"/>
    <w:rsid w:val="00FC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322973-DDBB-4519-A987-94FE5F55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6D"/>
    <w:pPr>
      <w:spacing w:after="120"/>
    </w:pPr>
    <w:rPr>
      <w:rFonts w:ascii="Times New Roman" w:eastAsia="Times New Roman" w:hAnsi="Times New Roman" w:cs="Times New Roman"/>
      <w:szCs w:val="20"/>
    </w:rPr>
  </w:style>
  <w:style w:type="paragraph" w:styleId="Heading1">
    <w:name w:val="heading 1"/>
    <w:basedOn w:val="Normal"/>
    <w:next w:val="Normal"/>
    <w:link w:val="Heading1Char"/>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paragraph" w:styleId="Heading4">
    <w:name w:val="heading 4"/>
    <w:aliases w:val="footnote"/>
    <w:basedOn w:val="FootnoteText"/>
    <w:next w:val="Normal"/>
    <w:link w:val="Heading4Char"/>
    <w:uiPriority w:val="9"/>
    <w:unhideWhenUsed/>
    <w:qFormat/>
    <w:rsid w:val="00ED0C0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ind w:firstLine="432"/>
    </w:pPr>
    <w:rPr>
      <w:sz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rPr>
      <w:sz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character" w:customStyle="1" w:styleId="Heading4Char">
    <w:name w:val="Heading 4 Char"/>
    <w:aliases w:val="footnote Char"/>
    <w:basedOn w:val="DefaultParagraphFont"/>
    <w:link w:val="Heading4"/>
    <w:uiPriority w:val="9"/>
    <w:rsid w:val="00ED0C0E"/>
  </w:style>
  <w:style w:type="table" w:styleId="TableGrid">
    <w:name w:val="Table Grid"/>
    <w:basedOn w:val="TableNormal"/>
    <w:uiPriority w:val="59"/>
    <w:rsid w:val="00224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number">
    <w:name w:val="Section number"/>
    <w:basedOn w:val="Normal"/>
    <w:rsid w:val="0022436D"/>
    <w:pPr>
      <w:numPr>
        <w:numId w:val="1"/>
      </w:numPr>
      <w:spacing w:before="100" w:beforeAutospacing="1" w:after="100" w:afterAutospacing="1"/>
    </w:pPr>
    <w:rPr>
      <w:b/>
    </w:rPr>
  </w:style>
  <w:style w:type="paragraph" w:styleId="Header">
    <w:name w:val="header"/>
    <w:basedOn w:val="Normal"/>
    <w:link w:val="HeaderChar"/>
    <w:uiPriority w:val="99"/>
    <w:unhideWhenUsed/>
    <w:rsid w:val="0022436D"/>
    <w:pPr>
      <w:tabs>
        <w:tab w:val="center" w:pos="4680"/>
        <w:tab w:val="right" w:pos="9360"/>
      </w:tabs>
      <w:spacing w:after="0"/>
    </w:pPr>
  </w:style>
  <w:style w:type="character" w:customStyle="1" w:styleId="HeaderChar">
    <w:name w:val="Header Char"/>
    <w:basedOn w:val="DefaultParagraphFont"/>
    <w:link w:val="Header"/>
    <w:uiPriority w:val="99"/>
    <w:rsid w:val="0022436D"/>
    <w:rPr>
      <w:rFonts w:ascii="Times New Roman" w:eastAsia="Times New Roman" w:hAnsi="Times New Roman" w:cs="Times New Roman"/>
      <w:szCs w:val="20"/>
    </w:rPr>
  </w:style>
  <w:style w:type="paragraph" w:styleId="Footer">
    <w:name w:val="footer"/>
    <w:basedOn w:val="Normal"/>
    <w:link w:val="FooterChar"/>
    <w:uiPriority w:val="99"/>
    <w:unhideWhenUsed/>
    <w:rsid w:val="0022436D"/>
    <w:pPr>
      <w:tabs>
        <w:tab w:val="center" w:pos="4680"/>
        <w:tab w:val="right" w:pos="9360"/>
      </w:tabs>
      <w:spacing w:after="0"/>
    </w:pPr>
  </w:style>
  <w:style w:type="character" w:customStyle="1" w:styleId="FooterChar">
    <w:name w:val="Footer Char"/>
    <w:basedOn w:val="DefaultParagraphFont"/>
    <w:link w:val="Footer"/>
    <w:uiPriority w:val="99"/>
    <w:rsid w:val="0022436D"/>
    <w:rPr>
      <w:rFonts w:ascii="Times New Roman" w:eastAsia="Times New Roman" w:hAnsi="Times New Roman" w:cs="Times New Roman"/>
      <w:szCs w:val="20"/>
    </w:rPr>
  </w:style>
  <w:style w:type="paragraph" w:styleId="BodyText">
    <w:name w:val="Body Text"/>
    <w:basedOn w:val="Normal"/>
    <w:link w:val="BodyTextChar"/>
    <w:qFormat/>
    <w:rsid w:val="002A3A41"/>
    <w:pPr>
      <w:spacing w:after="24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2A3A41"/>
    <w:rPr>
      <w:sz w:val="22"/>
      <w:szCs w:val="22"/>
    </w:rPr>
  </w:style>
  <w:style w:type="paragraph" w:customStyle="1" w:styleId="Headnote">
    <w:name w:val="Headnote"/>
    <w:basedOn w:val="Normal"/>
    <w:next w:val="BodyText"/>
    <w:uiPriority w:val="1"/>
    <w:qFormat/>
    <w:rsid w:val="002A3A41"/>
    <w:pPr>
      <w:keepNext/>
      <w:spacing w:after="60"/>
    </w:pPr>
    <w:rPr>
      <w:rFonts w:asciiTheme="minorHAnsi" w:eastAsiaTheme="minorHAnsi" w:hAnsiTheme="minorHAnsi" w:cstheme="minorBidi"/>
      <w:b/>
      <w:sz w:val="22"/>
      <w:szCs w:val="22"/>
    </w:rPr>
  </w:style>
  <w:style w:type="paragraph" w:customStyle="1" w:styleId="SubdText">
    <w:name w:val="Subd Text"/>
    <w:basedOn w:val="Normal"/>
    <w:uiPriority w:val="1"/>
    <w:qFormat/>
    <w:rsid w:val="002A3A41"/>
    <w:pPr>
      <w:spacing w:after="240"/>
      <w:ind w:left="752"/>
    </w:pPr>
    <w:rPr>
      <w:rFonts w:asciiTheme="minorHAnsi" w:eastAsiaTheme="minorHAnsi" w:hAnsiTheme="minorHAnsi" w:cstheme="minorBidi"/>
      <w:sz w:val="22"/>
      <w:szCs w:val="22"/>
    </w:rPr>
  </w:style>
  <w:style w:type="character" w:customStyle="1" w:styleId="Heading-Inline">
    <w:name w:val="Heading - Inline"/>
    <w:basedOn w:val="DefaultParagraphFont"/>
    <w:uiPriority w:val="3"/>
    <w:unhideWhenUsed/>
    <w:qFormat/>
    <w:rsid w:val="002A3A41"/>
    <w:rPr>
      <w:b/>
    </w:rPr>
  </w:style>
  <w:style w:type="paragraph" w:styleId="NormalWeb">
    <w:name w:val="Normal (Web)"/>
    <w:basedOn w:val="Normal"/>
    <w:uiPriority w:val="99"/>
    <w:unhideWhenUsed/>
    <w:rsid w:val="008E1A7F"/>
    <w:pPr>
      <w:spacing w:before="100" w:beforeAutospacing="1" w:after="100" w:afterAutospacing="1"/>
    </w:pPr>
    <w:rPr>
      <w:szCs w:val="24"/>
    </w:rPr>
  </w:style>
  <w:style w:type="character" w:styleId="Strong">
    <w:name w:val="Strong"/>
    <w:basedOn w:val="DefaultParagraphFont"/>
    <w:uiPriority w:val="22"/>
    <w:qFormat/>
    <w:rsid w:val="008E1A7F"/>
    <w:rPr>
      <w:b/>
      <w:bCs/>
    </w:rPr>
  </w:style>
  <w:style w:type="paragraph" w:customStyle="1" w:styleId="ExecSummary-Heading">
    <w:name w:val="Exec Summary - Heading"/>
    <w:basedOn w:val="Heading2"/>
    <w:next w:val="Normal"/>
    <w:uiPriority w:val="2"/>
    <w:rsid w:val="00C5660F"/>
    <w:pPr>
      <w:keepNext w:val="0"/>
      <w:spacing w:before="600" w:after="120"/>
      <w:ind w:left="115"/>
    </w:pPr>
    <w:rPr>
      <w:rFonts w:ascii="Segoe UI" w:eastAsiaTheme="minorHAnsi" w:hAnsi="Segoe UI" w:cs="Segoe UI"/>
      <w:noProof/>
      <w:spacing w:val="6"/>
      <w:sz w:val="36"/>
      <w:szCs w:val="36"/>
    </w:rPr>
  </w:style>
  <w:style w:type="paragraph" w:styleId="ListParagraph">
    <w:name w:val="List Paragraph"/>
    <w:basedOn w:val="Normal"/>
    <w:uiPriority w:val="34"/>
    <w:unhideWhenUsed/>
    <w:rsid w:val="00151B64"/>
    <w:pPr>
      <w:spacing w:after="0"/>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Master%20BS%20templates\HHS%20side%20by%20s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FBF1583-FBE6-415E-84A8-483D08D4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side by side</Template>
  <TotalTime>1</TotalTime>
  <Pages>31</Pages>
  <Words>6723</Words>
  <Characters>38323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44957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DFLUser</cp:lastModifiedBy>
  <cp:revision>2</cp:revision>
  <cp:lastPrinted>2019-05-01T21:52:00Z</cp:lastPrinted>
  <dcterms:created xsi:type="dcterms:W3CDTF">2019-05-07T03:32:00Z</dcterms:created>
  <dcterms:modified xsi:type="dcterms:W3CDTF">2019-05-07T03:32:00Z</dcterms:modified>
</cp:coreProperties>
</file>