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9879" w14:textId="77777777" w:rsidR="00761AA8" w:rsidRDefault="00761AA8" w:rsidP="00761AA8">
      <w:pPr>
        <w:pStyle w:val="NormalWeb"/>
        <w:spacing w:before="0" w:beforeAutospacing="0" w:after="0" w:afterAutospacing="0"/>
      </w:pPr>
      <w:r>
        <w:rPr>
          <w:b/>
          <w:bCs/>
          <w:color w:val="000000"/>
        </w:rPr>
        <w:t>Minnesota (2022): House File 100, Testimony in support of legalization, home cultivation, and expungement</w:t>
      </w:r>
    </w:p>
    <w:p w14:paraId="0A99390B" w14:textId="77777777" w:rsidR="00761AA8" w:rsidRDefault="00761AA8" w:rsidP="00761AA8"/>
    <w:p w14:paraId="332E21BB" w14:textId="3F8F5DFF" w:rsidR="00761AA8" w:rsidRDefault="00761AA8" w:rsidP="00761AA8">
      <w:pPr>
        <w:pStyle w:val="NormalWeb"/>
        <w:spacing w:before="0" w:beforeAutospacing="0" w:after="0" w:afterAutospacing="0"/>
      </w:pPr>
      <w:r>
        <w:rPr>
          <w:color w:val="000000"/>
        </w:rPr>
        <w:t xml:space="preserve">My name is Jax James, State Policy Manager for NORML. </w:t>
      </w:r>
      <w:r>
        <w:rPr>
          <w:color w:val="000000"/>
        </w:rPr>
        <w:t xml:space="preserve">I would like to thank the House </w:t>
      </w:r>
      <w:r w:rsidR="00817E1B">
        <w:rPr>
          <w:color w:val="000000"/>
        </w:rPr>
        <w:t>Commerce, Finance and Policy Committee</w:t>
      </w:r>
      <w:r>
        <w:rPr>
          <w:color w:val="000000"/>
        </w:rPr>
        <w:t xml:space="preserve"> for considering HF100. NORML greatly supports legislative efforts to legalize and regulate the adult-</w:t>
      </w:r>
      <w:r>
        <w:rPr>
          <w:color w:val="000000"/>
        </w:rPr>
        <w:t>use marijuana</w:t>
      </w:r>
      <w:r>
        <w:rPr>
          <w:color w:val="000000"/>
        </w:rPr>
        <w:t xml:space="preserve"> market. </w:t>
      </w:r>
    </w:p>
    <w:p w14:paraId="0BD0C865" w14:textId="77777777" w:rsidR="00761AA8" w:rsidRDefault="00761AA8" w:rsidP="00761AA8"/>
    <w:p w14:paraId="63A48CC7" w14:textId="1CF12C69" w:rsidR="00761AA8" w:rsidRDefault="00761AA8" w:rsidP="00761AA8">
      <w:pPr>
        <w:pStyle w:val="NormalWeb"/>
        <w:spacing w:before="0" w:beforeAutospacing="0" w:after="0" w:afterAutospacing="0"/>
      </w:pPr>
      <w:r>
        <w:rPr>
          <w:color w:val="000000"/>
        </w:rPr>
        <w:t xml:space="preserve">In addition to a comprehensive regulatory framework for marijuana’s commercial sale, House File </w:t>
      </w:r>
      <w:r>
        <w:rPr>
          <w:color w:val="000000"/>
        </w:rPr>
        <w:t>100 permits</w:t>
      </w:r>
      <w:r>
        <w:rPr>
          <w:color w:val="000000"/>
        </w:rPr>
        <w:t xml:space="preserve"> adults 21 and over to possess up to 2 oz of marijuana and cultivate up to 8 plants (four of which can be mature). Further, this legislation facilitates the expungement of marijuana-related offenses, as well as the resentencing of certain felony convictions. </w:t>
      </w:r>
    </w:p>
    <w:p w14:paraId="3AB99013" w14:textId="77777777" w:rsidR="00761AA8" w:rsidRDefault="00761AA8" w:rsidP="00761AA8"/>
    <w:p w14:paraId="7BD90450" w14:textId="3259190E" w:rsidR="00761AA8" w:rsidRDefault="00761AA8" w:rsidP="00761AA8">
      <w:pPr>
        <w:pStyle w:val="NormalWeb"/>
        <w:spacing w:before="0" w:beforeAutospacing="0" w:after="0" w:afterAutospacing="0"/>
      </w:pPr>
      <w:r>
        <w:rPr>
          <w:color w:val="000000"/>
        </w:rPr>
        <w:t xml:space="preserve">Never in modern history has there existed greater public support for repealing the nation's nearly century-long experiment with marijuana prohibition. According to statewide polling data, a majority of Minnesota adults endorse the legalization of marijuana for </w:t>
      </w:r>
      <w:r>
        <w:rPr>
          <w:color w:val="000000"/>
        </w:rPr>
        <w:t>adult use</w:t>
      </w:r>
      <w:r>
        <w:rPr>
          <w:color w:val="000000"/>
        </w:rPr>
        <w:t xml:space="preserve">. Further, permitting limited home cultivation permits the ability for adults to have reliable, affordable, and consistent access to </w:t>
      </w:r>
      <w:r>
        <w:rPr>
          <w:color w:val="000000"/>
        </w:rPr>
        <w:t>cannabis.</w:t>
      </w:r>
    </w:p>
    <w:p w14:paraId="4F8761FB" w14:textId="77777777" w:rsidR="00761AA8" w:rsidRDefault="00761AA8" w:rsidP="00761AA8"/>
    <w:p w14:paraId="17C6A9D6" w14:textId="12DAE5F6" w:rsidR="00761AA8" w:rsidRDefault="00761AA8" w:rsidP="00761AA8">
      <w:pPr>
        <w:pStyle w:val="NormalWeb"/>
        <w:spacing w:before="0" w:beforeAutospacing="0" w:after="0" w:afterAutospacing="0"/>
      </w:pPr>
      <w:r>
        <w:rPr>
          <w:color w:val="000000"/>
        </w:rPr>
        <w:t xml:space="preserve">The ongoing prohibition of marijuana financially burdens taxpayers, encroaches upon civil liberties, engenders disrespect for the law, and disproportionately impacts communities of color. Passage of this legislation will make it so hundreds of thousands of minor offenders are no longer stigmatized and disenfranchised by the collateral consequences of an arrest record for an incident that is no longer a crime. People with otherwise clean records do not deserve to be forever stigmatized because of </w:t>
      </w:r>
      <w:r>
        <w:rPr>
          <w:color w:val="000000"/>
        </w:rPr>
        <w:t>a conviction</w:t>
      </w:r>
      <w:r>
        <w:rPr>
          <w:color w:val="000000"/>
        </w:rPr>
        <w:t xml:space="preserve"> for activity that would no longer be prosecuted today.</w:t>
      </w:r>
    </w:p>
    <w:p w14:paraId="3B6E2D71" w14:textId="77777777" w:rsidR="00761AA8" w:rsidRDefault="00761AA8" w:rsidP="00761AA8"/>
    <w:p w14:paraId="0CD21275" w14:textId="77777777" w:rsidR="00761AA8" w:rsidRDefault="00761AA8" w:rsidP="00761AA8">
      <w:pPr>
        <w:pStyle w:val="NormalWeb"/>
        <w:spacing w:before="0" w:beforeAutospacing="0" w:after="0" w:afterAutospacing="0"/>
      </w:pPr>
      <w:r>
        <w:rPr>
          <w:color w:val="000000"/>
        </w:rPr>
        <w:t>It’s time for Minnesota to stop ceding control and revenue of the marijuana market to unregulated and untaxed enterprises. A pragmatic regulatory framework that licenses production and sale of marijuana to adults - but continues to criminalize sale to minors - best reduces the risks associated with its use and commerce.</w:t>
      </w:r>
    </w:p>
    <w:p w14:paraId="721AD423" w14:textId="77777777" w:rsidR="00761AA8" w:rsidRDefault="00761AA8" w:rsidP="00761AA8"/>
    <w:p w14:paraId="0A49476B" w14:textId="77777777" w:rsidR="00761AA8" w:rsidRDefault="00761AA8" w:rsidP="00761AA8">
      <w:pPr>
        <w:pStyle w:val="NormalWeb"/>
        <w:spacing w:before="0" w:beforeAutospacing="0" w:after="0" w:afterAutospacing="0"/>
      </w:pPr>
      <w:r>
        <w:rPr>
          <w:color w:val="000000"/>
        </w:rPr>
        <w:t>For these reasons, NORML urges Minnesota legislators to pass HF100. </w:t>
      </w:r>
    </w:p>
    <w:p w14:paraId="00808B58" w14:textId="77777777" w:rsidR="005F5E1C" w:rsidRDefault="005F5E1C">
      <w:pPr>
        <w:widowControl w:val="0"/>
        <w:pBdr>
          <w:top w:val="nil"/>
          <w:left w:val="nil"/>
          <w:bottom w:val="nil"/>
          <w:right w:val="nil"/>
          <w:between w:val="nil"/>
        </w:pBdr>
        <w:spacing w:line="276" w:lineRule="auto"/>
      </w:pPr>
    </w:p>
    <w:p w14:paraId="5E6E612B" w14:textId="77777777" w:rsidR="005F5E1C" w:rsidRDefault="005F5E1C">
      <w:pPr>
        <w:spacing w:line="276" w:lineRule="auto"/>
        <w:rPr>
          <w:rFonts w:ascii="Calibri" w:eastAsia="Calibri" w:hAnsi="Calibri" w:cs="Calibri"/>
          <w:sz w:val="22"/>
          <w:szCs w:val="22"/>
        </w:rPr>
      </w:pPr>
    </w:p>
    <w:p w14:paraId="4B92A349" w14:textId="77777777" w:rsidR="005F5E1C" w:rsidRDefault="005F5E1C">
      <w:pPr>
        <w:spacing w:line="276" w:lineRule="auto"/>
        <w:rPr>
          <w:rFonts w:ascii="Calibri" w:eastAsia="Calibri" w:hAnsi="Calibri" w:cs="Calibri"/>
          <w:sz w:val="22"/>
          <w:szCs w:val="22"/>
        </w:rPr>
      </w:pPr>
    </w:p>
    <w:p w14:paraId="538F05B4" w14:textId="77777777" w:rsidR="005F5E1C" w:rsidRDefault="005F5E1C">
      <w:pPr>
        <w:spacing w:line="276" w:lineRule="auto"/>
        <w:rPr>
          <w:rFonts w:ascii="Calibri" w:eastAsia="Calibri" w:hAnsi="Calibri" w:cs="Calibri"/>
          <w:sz w:val="22"/>
          <w:szCs w:val="22"/>
        </w:rPr>
      </w:pPr>
    </w:p>
    <w:p w14:paraId="30DAB098" w14:textId="77777777" w:rsidR="005F5E1C" w:rsidRDefault="005F5E1C">
      <w:pPr>
        <w:rPr>
          <w:rFonts w:ascii="Calibri" w:eastAsia="Calibri" w:hAnsi="Calibri" w:cs="Calibri"/>
          <w:sz w:val="22"/>
          <w:szCs w:val="22"/>
        </w:rPr>
      </w:pPr>
    </w:p>
    <w:sectPr w:rsidR="005F5E1C">
      <w:headerReference w:type="even" r:id="rId7"/>
      <w:headerReference w:type="default" r:id="rId8"/>
      <w:footerReference w:type="even" r:id="rId9"/>
      <w:footerReference w:type="default" r:id="rId10"/>
      <w:headerReference w:type="first" r:id="rId11"/>
      <w:footerReference w:type="first" r:id="rId12"/>
      <w:pgSz w:w="12240" w:h="15840"/>
      <w:pgMar w:top="288" w:right="720" w:bottom="28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42F0" w14:textId="77777777" w:rsidR="00CB42BD" w:rsidRDefault="00CB42BD">
      <w:r>
        <w:separator/>
      </w:r>
    </w:p>
  </w:endnote>
  <w:endnote w:type="continuationSeparator" w:id="0">
    <w:p w14:paraId="55015E0C" w14:textId="77777777" w:rsidR="00CB42BD" w:rsidRDefault="00CB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5F62" w14:textId="77777777" w:rsidR="005F5E1C" w:rsidRDefault="005F5E1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9C64" w14:textId="77777777" w:rsidR="005F5E1C" w:rsidRDefault="005F5E1C">
    <w:pPr>
      <w:shd w:val="clear" w:color="auto" w:fill="FFFFFF"/>
      <w:rPr>
        <w:rFonts w:ascii="Arial" w:eastAsia="Arial" w:hAnsi="Arial" w:cs="Arial"/>
        <w:sz w:val="16"/>
        <w:szCs w:val="16"/>
      </w:rPr>
    </w:pPr>
  </w:p>
  <w:tbl>
    <w:tblPr>
      <w:tblStyle w:val="a0"/>
      <w:tblW w:w="9915"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7770"/>
      <w:gridCol w:w="2145"/>
    </w:tblGrid>
    <w:tr w:rsidR="005F5E1C" w14:paraId="2D0933EB" w14:textId="77777777">
      <w:trPr>
        <w:trHeight w:val="80"/>
      </w:trPr>
      <w:tc>
        <w:tcPr>
          <w:tcW w:w="7770" w:type="dxa"/>
        </w:tcPr>
        <w:p w14:paraId="00639C06" w14:textId="77777777" w:rsidR="005F5E1C" w:rsidRDefault="00000000">
          <w:pPr>
            <w:ind w:right="-198"/>
            <w:rPr>
              <w:rFonts w:ascii="Nunito" w:eastAsia="Nunito" w:hAnsi="Nunito" w:cs="Nunito"/>
              <w:color w:val="308A42"/>
              <w:sz w:val="18"/>
              <w:szCs w:val="18"/>
            </w:rPr>
          </w:pPr>
          <w:r>
            <w:rPr>
              <w:rFonts w:ascii="Nunito" w:eastAsia="Nunito" w:hAnsi="Nunito" w:cs="Nunito"/>
              <w:color w:val="308A42"/>
              <w:sz w:val="18"/>
              <w:szCs w:val="18"/>
            </w:rPr>
            <w:t>1420 K Street NW | Suite 350 | Washington, DC 20005 | 202-483-5500 | norml.org</w:t>
          </w:r>
        </w:p>
      </w:tc>
      <w:tc>
        <w:tcPr>
          <w:tcW w:w="2145" w:type="dxa"/>
        </w:tcPr>
        <w:p w14:paraId="086530AE" w14:textId="55A60251" w:rsidR="005F5E1C" w:rsidRDefault="00761AA8">
          <w:pPr>
            <w:jc w:val="right"/>
            <w:rPr>
              <w:rFonts w:ascii="Arial" w:eastAsia="Arial" w:hAnsi="Arial" w:cs="Arial"/>
              <w:sz w:val="16"/>
              <w:szCs w:val="16"/>
            </w:rPr>
          </w:pPr>
          <w:bookmarkStart w:id="0" w:name="_heading=h.gjdgxs" w:colFirst="0" w:colLast="0"/>
          <w:bookmarkEnd w:id="0"/>
          <w:r>
            <w:rPr>
              <w:rFonts w:ascii="Arial" w:eastAsia="Arial" w:hAnsi="Arial" w:cs="Arial"/>
              <w:noProof/>
              <w:sz w:val="16"/>
              <w:szCs w:val="16"/>
            </w:rPr>
            <w:drawing>
              <wp:inline distT="0" distB="0" distL="0" distR="0" wp14:anchorId="0E32BB9E" wp14:editId="6BEF47E5">
                <wp:extent cx="2571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152400"/>
                        </a:xfrm>
                        <a:prstGeom prst="rect">
                          <a:avLst/>
                        </a:prstGeom>
                        <a:noFill/>
                        <a:ln>
                          <a:noFill/>
                        </a:ln>
                      </pic:spPr>
                    </pic:pic>
                  </a:graphicData>
                </a:graphic>
              </wp:inline>
            </w:drawing>
          </w:r>
        </w:p>
      </w:tc>
    </w:tr>
  </w:tbl>
  <w:p w14:paraId="551982C5" w14:textId="77777777" w:rsidR="005F5E1C" w:rsidRDefault="005F5E1C"/>
  <w:p w14:paraId="4EBAAA4D" w14:textId="77777777" w:rsidR="005F5E1C" w:rsidRDefault="005F5E1C">
    <w:pPr>
      <w:shd w:val="clear" w:color="auto" w:fill="FFFFFF"/>
      <w:ind w:left="-270"/>
      <w:jc w:val="center"/>
      <w:rPr>
        <w:rFonts w:ascii="Arial" w:eastAsia="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426A" w14:textId="77777777" w:rsidR="005F5E1C" w:rsidRDefault="005F5E1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CF3B" w14:textId="77777777" w:rsidR="00CB42BD" w:rsidRDefault="00CB42BD">
      <w:r>
        <w:separator/>
      </w:r>
    </w:p>
  </w:footnote>
  <w:footnote w:type="continuationSeparator" w:id="0">
    <w:p w14:paraId="647DA075" w14:textId="77777777" w:rsidR="00CB42BD" w:rsidRDefault="00CB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1205" w14:textId="77777777" w:rsidR="005F5E1C" w:rsidRDefault="005F5E1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1B81" w14:textId="77777777" w:rsidR="005F5E1C" w:rsidRDefault="005F5E1C">
    <w:pPr>
      <w:widowControl w:val="0"/>
      <w:pBdr>
        <w:top w:val="nil"/>
        <w:left w:val="nil"/>
        <w:bottom w:val="nil"/>
        <w:right w:val="nil"/>
        <w:between w:val="nil"/>
      </w:pBdr>
      <w:spacing w:line="276" w:lineRule="auto"/>
    </w:pPr>
  </w:p>
  <w:tbl>
    <w:tblPr>
      <w:tblStyle w:val="a"/>
      <w:tblW w:w="10020" w:type="dxa"/>
      <w:tblBorders>
        <w:top w:val="nil"/>
        <w:left w:val="nil"/>
        <w:bottom w:val="nil"/>
        <w:right w:val="nil"/>
        <w:insideH w:val="nil"/>
        <w:insideV w:val="nil"/>
      </w:tblBorders>
      <w:tblLayout w:type="fixed"/>
      <w:tblLook w:val="0400" w:firstRow="0" w:lastRow="0" w:firstColumn="0" w:lastColumn="0" w:noHBand="0" w:noVBand="1"/>
    </w:tblPr>
    <w:tblGrid>
      <w:gridCol w:w="9765"/>
      <w:gridCol w:w="255"/>
    </w:tblGrid>
    <w:tr w:rsidR="005F5E1C" w14:paraId="0C4FC8E9" w14:textId="77777777">
      <w:tc>
        <w:tcPr>
          <w:tcW w:w="9765" w:type="dxa"/>
        </w:tcPr>
        <w:p w14:paraId="6C750FAF" w14:textId="32452E4F" w:rsidR="005F5E1C" w:rsidRDefault="00761AA8">
          <w:pPr>
            <w:pBdr>
              <w:top w:val="nil"/>
              <w:left w:val="nil"/>
              <w:bottom w:val="nil"/>
              <w:right w:val="nil"/>
              <w:between w:val="nil"/>
            </w:pBdr>
            <w:tabs>
              <w:tab w:val="center" w:pos="4320"/>
              <w:tab w:val="right" w:pos="8640"/>
            </w:tabs>
            <w:rPr>
              <w:color w:val="000000"/>
              <w:sz w:val="20"/>
              <w:szCs w:val="20"/>
            </w:rPr>
          </w:pPr>
          <w:r>
            <w:rPr>
              <w:noProof/>
              <w:color w:val="000000"/>
              <w:sz w:val="20"/>
              <w:szCs w:val="20"/>
            </w:rPr>
            <w:drawing>
              <wp:inline distT="0" distB="0" distL="0" distR="0" wp14:anchorId="5C6F0D2C" wp14:editId="1A25AC06">
                <wp:extent cx="2009775" cy="676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c>
        <w:tcPr>
          <w:tcW w:w="255" w:type="dxa"/>
        </w:tcPr>
        <w:p w14:paraId="61E79519" w14:textId="77777777" w:rsidR="005F5E1C" w:rsidRDefault="005F5E1C">
          <w:pPr>
            <w:pBdr>
              <w:top w:val="nil"/>
              <w:left w:val="nil"/>
              <w:bottom w:val="nil"/>
              <w:right w:val="nil"/>
              <w:between w:val="nil"/>
            </w:pBdr>
            <w:tabs>
              <w:tab w:val="center" w:pos="4320"/>
              <w:tab w:val="right" w:pos="8640"/>
            </w:tabs>
            <w:rPr>
              <w:rFonts w:ascii="Poppins" w:eastAsia="Poppins" w:hAnsi="Poppins" w:cs="Poppins"/>
              <w:color w:val="000000"/>
              <w:sz w:val="20"/>
              <w:szCs w:val="20"/>
            </w:rPr>
          </w:pPr>
        </w:p>
      </w:tc>
    </w:tr>
    <w:tr w:rsidR="005F5E1C" w14:paraId="3E1EE5D7" w14:textId="77777777">
      <w:tc>
        <w:tcPr>
          <w:tcW w:w="9765" w:type="dxa"/>
        </w:tcPr>
        <w:p w14:paraId="6BDB4A8A" w14:textId="77777777" w:rsidR="005F5E1C" w:rsidRDefault="00000000">
          <w:pPr>
            <w:pBdr>
              <w:top w:val="nil"/>
              <w:left w:val="nil"/>
              <w:bottom w:val="nil"/>
              <w:right w:val="nil"/>
              <w:between w:val="nil"/>
            </w:pBdr>
            <w:tabs>
              <w:tab w:val="center" w:pos="4320"/>
              <w:tab w:val="right" w:pos="8640"/>
            </w:tabs>
            <w:rPr>
              <w:color w:val="DBE3D6"/>
            </w:rPr>
          </w:pPr>
          <w:r>
            <w:rPr>
              <w:noProof/>
            </w:rPr>
            <mc:AlternateContent>
              <mc:Choice Requires="wpg">
                <w:drawing>
                  <wp:anchor distT="0" distB="0" distL="114300" distR="114300" simplePos="0" relativeHeight="251658240" behindDoc="0" locked="0" layoutInCell="1" hidden="0" allowOverlap="1" wp14:anchorId="2B5940B4" wp14:editId="1A140C90">
                    <wp:simplePos x="0" y="0"/>
                    <wp:positionH relativeFrom="column">
                      <wp:posOffset>47626</wp:posOffset>
                    </wp:positionH>
                    <wp:positionV relativeFrom="paragraph">
                      <wp:posOffset>19050</wp:posOffset>
                    </wp:positionV>
                    <wp:extent cx="6172200" cy="53975"/>
                    <wp:effectExtent l="0" t="0" r="0" b="0"/>
                    <wp:wrapNone/>
                    <wp:docPr id="1" name="Freeform: Shape 1"/>
                    <wp:cNvGraphicFramePr/>
                    <a:graphic xmlns:a="http://schemas.openxmlformats.org/drawingml/2006/main">
                      <a:graphicData uri="http://schemas.microsoft.com/office/word/2010/wordprocessingShape">
                        <wps:wsp>
                          <wps:cNvSpPr/>
                          <wps:spPr>
                            <a:xfrm>
                              <a:off x="2164650" y="3780000"/>
                              <a:ext cx="6362700" cy="0"/>
                            </a:xfrm>
                            <a:custGeom>
                              <a:avLst/>
                              <a:gdLst/>
                              <a:ahLst/>
                              <a:cxnLst/>
                              <a:rect l="l" t="t" r="r" b="b"/>
                              <a:pathLst>
                                <a:path w="6362700" h="1" extrusionOk="0">
                                  <a:moveTo>
                                    <a:pt x="0" y="0"/>
                                  </a:moveTo>
                                  <a:lnTo>
                                    <a:pt x="6362700" y="0"/>
                                  </a:lnTo>
                                </a:path>
                              </a:pathLst>
                            </a:custGeom>
                            <a:solidFill>
                              <a:srgbClr val="FFFFFF"/>
                            </a:solidFill>
                            <a:ln w="53975" cap="flat" cmpd="sng">
                              <a:solidFill>
                                <a:srgbClr val="DBE3D6"/>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47626</wp:posOffset>
                    </wp:positionH>
                    <wp:positionV relativeFrom="paragraph">
                      <wp:posOffset>19050</wp:posOffset>
                    </wp:positionV>
                    <wp:extent cx="6172200" cy="53975"/>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172200" cy="53975"/>
                            </a:xfrm>
                            <a:prstGeom prst="rect"/>
                            <a:ln/>
                          </pic:spPr>
                        </pic:pic>
                      </a:graphicData>
                    </a:graphic>
                  </wp:anchor>
                </w:drawing>
              </mc:Fallback>
            </mc:AlternateContent>
          </w:r>
        </w:p>
      </w:tc>
      <w:tc>
        <w:tcPr>
          <w:tcW w:w="255" w:type="dxa"/>
        </w:tcPr>
        <w:p w14:paraId="56C77D4D" w14:textId="77777777" w:rsidR="005F5E1C" w:rsidRDefault="005F5E1C">
          <w:pPr>
            <w:pBdr>
              <w:top w:val="nil"/>
              <w:left w:val="nil"/>
              <w:bottom w:val="nil"/>
              <w:right w:val="nil"/>
              <w:between w:val="nil"/>
            </w:pBdr>
            <w:tabs>
              <w:tab w:val="center" w:pos="4320"/>
              <w:tab w:val="right" w:pos="8640"/>
            </w:tabs>
            <w:jc w:val="right"/>
            <w:rPr>
              <w:rFonts w:ascii="Poppins" w:eastAsia="Poppins" w:hAnsi="Poppins" w:cs="Poppins"/>
              <w:color w:val="000000"/>
              <w:sz w:val="20"/>
              <w:szCs w:val="20"/>
            </w:rPr>
          </w:pPr>
        </w:p>
      </w:tc>
    </w:tr>
  </w:tbl>
  <w:p w14:paraId="42642E0A" w14:textId="77777777" w:rsidR="005F5E1C" w:rsidRDefault="005F5E1C">
    <w:pPr>
      <w:pBdr>
        <w:top w:val="nil"/>
        <w:left w:val="nil"/>
        <w:bottom w:val="nil"/>
        <w:right w:val="nil"/>
        <w:between w:val="nil"/>
      </w:pBdr>
      <w:tabs>
        <w:tab w:val="center" w:pos="4320"/>
        <w:tab w:val="right" w:pos="8640"/>
      </w:tabs>
      <w:rPr>
        <w:rFonts w:ascii="Poppins" w:eastAsia="Poppins" w:hAnsi="Poppins" w:cs="Poppi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7DD0" w14:textId="77777777" w:rsidR="005F5E1C" w:rsidRDefault="005F5E1C">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1C"/>
    <w:rsid w:val="005F5E1C"/>
    <w:rsid w:val="00761AA8"/>
    <w:rsid w:val="00817E1B"/>
    <w:rsid w:val="00CB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D1B4"/>
  <w15:docId w15:val="{B3CAF7F3-C66B-49CA-A9B7-279AC918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4C39"/>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C05213"/>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Strong">
    <w:name w:val="Strong"/>
    <w:qFormat/>
    <w:rPr>
      <w:b/>
      <w:bCs/>
    </w:rPr>
  </w:style>
  <w:style w:type="paragraph" w:styleId="BodyText">
    <w:name w:val="Body Text"/>
    <w:basedOn w:val="Normal"/>
    <w:semiHidden/>
    <w:rPr>
      <w:rFonts w:ascii="Verdana" w:hAnsi="Verdana"/>
      <w:b/>
      <w:bCs/>
      <w:noProof/>
      <w:sz w:val="20"/>
    </w:rPr>
  </w:style>
  <w:style w:type="paragraph" w:styleId="BalloonText">
    <w:name w:val="Balloon Text"/>
    <w:basedOn w:val="Normal"/>
    <w:link w:val="BalloonTextChar"/>
    <w:uiPriority w:val="99"/>
    <w:semiHidden/>
    <w:unhideWhenUsed/>
    <w:rsid w:val="00A97E9C"/>
    <w:rPr>
      <w:rFonts w:ascii="Tahoma" w:hAnsi="Tahoma" w:cs="Tahoma"/>
      <w:sz w:val="16"/>
      <w:szCs w:val="16"/>
    </w:rPr>
  </w:style>
  <w:style w:type="character" w:customStyle="1" w:styleId="BalloonTextChar">
    <w:name w:val="Balloon Text Char"/>
    <w:link w:val="BalloonText"/>
    <w:uiPriority w:val="99"/>
    <w:semiHidden/>
    <w:rsid w:val="00A97E9C"/>
    <w:rPr>
      <w:rFonts w:ascii="Tahoma" w:hAnsi="Tahoma" w:cs="Tahoma"/>
      <w:sz w:val="16"/>
      <w:szCs w:val="16"/>
    </w:rPr>
  </w:style>
  <w:style w:type="character" w:styleId="Hyperlink">
    <w:name w:val="Hyperlink"/>
    <w:basedOn w:val="DefaultParagraphFont"/>
    <w:uiPriority w:val="99"/>
    <w:unhideWhenUsed/>
    <w:rsid w:val="008A59FD"/>
    <w:rPr>
      <w:color w:val="0000FF" w:themeColor="hyperlink"/>
      <w:u w:val="single"/>
    </w:rPr>
  </w:style>
  <w:style w:type="character" w:customStyle="1" w:styleId="Heading1Char">
    <w:name w:val="Heading 1 Char"/>
    <w:basedOn w:val="DefaultParagraphFont"/>
    <w:link w:val="Heading1"/>
    <w:uiPriority w:val="9"/>
    <w:rsid w:val="00494C39"/>
    <w:rPr>
      <w:b/>
      <w:bCs/>
      <w:kern w:val="36"/>
      <w:sz w:val="48"/>
      <w:szCs w:val="48"/>
    </w:rPr>
  </w:style>
  <w:style w:type="character" w:customStyle="1" w:styleId="Heading5Char">
    <w:name w:val="Heading 5 Char"/>
    <w:basedOn w:val="DefaultParagraphFont"/>
    <w:link w:val="Heading5"/>
    <w:uiPriority w:val="9"/>
    <w:semiHidden/>
    <w:rsid w:val="00C05213"/>
    <w:rPr>
      <w:rFonts w:asciiTheme="minorHAnsi" w:eastAsiaTheme="minorEastAsia" w:hAnsiTheme="minorHAnsi" w:cstheme="minorBidi"/>
      <w:b/>
      <w:bCs/>
      <w:i/>
      <w:iCs/>
      <w:sz w:val="26"/>
      <w:szCs w:val="26"/>
    </w:rPr>
  </w:style>
  <w:style w:type="table" w:styleId="TableGrid">
    <w:name w:val="Table Grid"/>
    <w:basedOn w:val="TableNormal"/>
    <w:uiPriority w:val="59"/>
    <w:rsid w:val="008B4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761A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27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dJwArenK8gl6xv5mis+1a00eaQ==">AMUW2mX9KBvUAhSb+h2XLOzc5FmKFE+wX9ZCoIJxP3u28l9Bb+l12uabOPCu8bV1rvPBshNnFUTEQItj1WBG5NnI8zhVJgnzuRGWMj7xlDV2xTT++EQle+LMLv7bRa1/SiWaAm605ILD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NORML</dc:creator>
  <cp:lastModifiedBy>Jax Finkel</cp:lastModifiedBy>
  <cp:revision>3</cp:revision>
  <cp:lastPrinted>2023-01-10T19:05:00Z</cp:lastPrinted>
  <dcterms:created xsi:type="dcterms:W3CDTF">2023-01-10T19:02:00Z</dcterms:created>
  <dcterms:modified xsi:type="dcterms:W3CDTF">2023-01-10T19:06:00Z</dcterms:modified>
</cp:coreProperties>
</file>