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76D" w:rsidRPr="00C83224" w:rsidRDefault="00C83224" w:rsidP="00C83224">
      <w:pPr>
        <w:pStyle w:val="DocTitle"/>
      </w:pPr>
      <w:bookmarkStart w:id="0" w:name="_Toc530996732"/>
      <w:bookmarkStart w:id="1" w:name="_GoBack"/>
      <w:bookmarkEnd w:id="1"/>
      <w:r w:rsidRPr="00C83224">
        <w:drawing>
          <wp:anchor distT="0" distB="0" distL="114300" distR="114300" simplePos="0" relativeHeight="251661312" behindDoc="0" locked="0" layoutInCell="1" allowOverlap="1">
            <wp:simplePos x="0" y="0"/>
            <wp:positionH relativeFrom="column">
              <wp:posOffset>-36830</wp:posOffset>
            </wp:positionH>
            <wp:positionV relativeFrom="page">
              <wp:posOffset>247015</wp:posOffset>
            </wp:positionV>
            <wp:extent cx="1828800" cy="530352"/>
            <wp:effectExtent l="0" t="0" r="0" b="3175"/>
            <wp:wrapNone/>
            <wp:docPr id="2" name="Picture 2" descr="Minnesota House Research Department logo" title="Minnesota House Researc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td-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530352"/>
                    </a:xfrm>
                    <a:prstGeom prst="rect">
                      <a:avLst/>
                    </a:prstGeom>
                  </pic:spPr>
                </pic:pic>
              </a:graphicData>
            </a:graphic>
            <wp14:sizeRelH relativeFrom="margin">
              <wp14:pctWidth>0</wp14:pctWidth>
            </wp14:sizeRelH>
            <wp14:sizeRelV relativeFrom="margin">
              <wp14:pctHeight>0</wp14:pctHeight>
            </wp14:sizeRelV>
          </wp:anchor>
        </w:drawing>
      </w:r>
      <w:bookmarkEnd w:id="0"/>
      <w:r w:rsidR="003507EF">
        <w:t>State-Assessed Property</w:t>
      </w:r>
    </w:p>
    <w:p w:rsidR="00AF576D" w:rsidRPr="00A95B12" w:rsidRDefault="003507EF" w:rsidP="003F6EF3">
      <w:pPr>
        <w:pStyle w:val="DocDate"/>
      </w:pPr>
      <w:r>
        <w:t>February 2019</w:t>
      </w:r>
    </w:p>
    <w:p w:rsidR="007A2391" w:rsidRDefault="003507EF" w:rsidP="007A2391">
      <w:pPr>
        <w:pStyle w:val="Heading2"/>
      </w:pPr>
      <w:r>
        <w:t>Property assessed by Department of Revenue</w:t>
      </w:r>
    </w:p>
    <w:p w:rsidR="003507EF" w:rsidRDefault="003507EF" w:rsidP="003507EF">
      <w:pPr>
        <w:pStyle w:val="BodyText"/>
      </w:pPr>
      <w:r>
        <w:t xml:space="preserve">Law requires the </w:t>
      </w:r>
      <w:r w:rsidR="00655900">
        <w:t>c</w:t>
      </w:r>
      <w:r>
        <w:t xml:space="preserve">ommissioner of </w:t>
      </w:r>
      <w:r w:rsidR="00655900">
        <w:t>r</w:t>
      </w:r>
      <w:r>
        <w:t>evenue to assess:</w:t>
      </w:r>
    </w:p>
    <w:p w:rsidR="003507EF" w:rsidRDefault="003507EF" w:rsidP="003507EF">
      <w:pPr>
        <w:pStyle w:val="BodyText"/>
        <w:numPr>
          <w:ilvl w:val="0"/>
          <w:numId w:val="20"/>
        </w:numPr>
      </w:pPr>
      <w:r>
        <w:t>Airline flight property</w:t>
      </w:r>
    </w:p>
    <w:p w:rsidR="003507EF" w:rsidRDefault="003507EF" w:rsidP="003507EF">
      <w:pPr>
        <w:pStyle w:val="BodyText"/>
        <w:numPr>
          <w:ilvl w:val="0"/>
          <w:numId w:val="20"/>
        </w:numPr>
      </w:pPr>
      <w:r>
        <w:t>Railroad operating property</w:t>
      </w:r>
    </w:p>
    <w:p w:rsidR="003507EF" w:rsidRDefault="003507EF" w:rsidP="003507EF">
      <w:pPr>
        <w:pStyle w:val="BodyText"/>
        <w:numPr>
          <w:ilvl w:val="0"/>
          <w:numId w:val="20"/>
        </w:numPr>
      </w:pPr>
      <w:r>
        <w:t>Pipeline operating property</w:t>
      </w:r>
    </w:p>
    <w:p w:rsidR="003507EF" w:rsidRDefault="003507EF" w:rsidP="003507EF">
      <w:pPr>
        <w:pStyle w:val="BodyText"/>
        <w:numPr>
          <w:ilvl w:val="0"/>
          <w:numId w:val="20"/>
        </w:numPr>
      </w:pPr>
      <w:r>
        <w:t>Utility operating property</w:t>
      </w:r>
    </w:p>
    <w:p w:rsidR="003507EF" w:rsidRPr="00D12091" w:rsidRDefault="003507EF" w:rsidP="003507EF">
      <w:pPr>
        <w:pStyle w:val="BodyText"/>
      </w:pPr>
      <w:r>
        <w:rPr>
          <w:i/>
        </w:rPr>
        <w:t>Operating property</w:t>
      </w:r>
      <w:r>
        <w:t xml:space="preserve"> means property directly associated with the activities of the organization. </w:t>
      </w:r>
      <w:proofErr w:type="spellStart"/>
      <w:r w:rsidR="00E47AB4">
        <w:rPr>
          <w:i/>
        </w:rPr>
        <w:t>Non</w:t>
      </w:r>
      <w:r>
        <w:rPr>
          <w:i/>
        </w:rPr>
        <w:t>operating</w:t>
      </w:r>
      <w:proofErr w:type="spellEnd"/>
      <w:r>
        <w:rPr>
          <w:i/>
        </w:rPr>
        <w:t xml:space="preserve"> property</w:t>
      </w:r>
      <w:r>
        <w:t xml:space="preserve"> includes all property other than operating property, such as vacant land or real property leased o</w:t>
      </w:r>
      <w:r w:rsidR="00E47AB4">
        <w:t xml:space="preserve">r rented to another person. </w:t>
      </w:r>
      <w:proofErr w:type="spellStart"/>
      <w:r w:rsidR="00E47AB4">
        <w:t>Non</w:t>
      </w:r>
      <w:r>
        <w:t>operating</w:t>
      </w:r>
      <w:proofErr w:type="spellEnd"/>
      <w:r>
        <w:t xml:space="preserve"> property is assessed locally.</w:t>
      </w:r>
    </w:p>
    <w:p w:rsidR="003507EF" w:rsidRDefault="003507EF" w:rsidP="003507EF">
      <w:pPr>
        <w:pStyle w:val="BodyText"/>
      </w:pPr>
      <w:r>
        <w:rPr>
          <w:b/>
        </w:rPr>
        <w:t>Rule 8100</w:t>
      </w:r>
    </w:p>
    <w:p w:rsidR="003507EF" w:rsidRDefault="003507EF" w:rsidP="003507EF">
      <w:pPr>
        <w:pStyle w:val="BodyText"/>
      </w:pPr>
      <w:r>
        <w:t xml:space="preserve">This rule guides the assessment of pipeline and utility operating property. Rule </w:t>
      </w:r>
      <w:r w:rsidR="00631D94">
        <w:t xml:space="preserve">8100 </w:t>
      </w:r>
      <w:r>
        <w:t xml:space="preserve">outlines three major processes used in the assessment. The </w:t>
      </w:r>
      <w:r w:rsidR="00655900">
        <w:t>c</w:t>
      </w:r>
      <w:r>
        <w:t xml:space="preserve">ommissioner of </w:t>
      </w:r>
      <w:r w:rsidR="00655900">
        <w:t>r</w:t>
      </w:r>
      <w:r>
        <w:t>evenue certifies the values to the counties for property tax purposes by August 1.</w:t>
      </w:r>
    </w:p>
    <w:p w:rsidR="003507EF" w:rsidRDefault="003507EF" w:rsidP="003507EF">
      <w:pPr>
        <w:pStyle w:val="BodyText"/>
      </w:pPr>
      <w:r>
        <w:rPr>
          <w:u w:val="single"/>
        </w:rPr>
        <w:t>Valuation</w:t>
      </w:r>
    </w:p>
    <w:p w:rsidR="003507EF" w:rsidRDefault="003507EF" w:rsidP="003507EF">
      <w:pPr>
        <w:pStyle w:val="BodyText"/>
      </w:pPr>
      <w:r>
        <w:t>A unit value for each company must be established by first valuing the entire system. Three approaches are used to estimate this value:</w:t>
      </w:r>
    </w:p>
    <w:p w:rsidR="003507EF" w:rsidRDefault="003507EF" w:rsidP="003507EF">
      <w:pPr>
        <w:pStyle w:val="BodyText"/>
        <w:ind w:left="720"/>
      </w:pPr>
      <w:r w:rsidRPr="00F82B79">
        <w:rPr>
          <w:b/>
          <w:i/>
        </w:rPr>
        <w:t>Cost Approach</w:t>
      </w:r>
      <w:r>
        <w:t>: Value is equal to the cost of the system plant less depreciation. Original cost as well as any improvements are accounted for in this calculation.</w:t>
      </w:r>
    </w:p>
    <w:p w:rsidR="003507EF" w:rsidRDefault="003507EF" w:rsidP="003507EF">
      <w:pPr>
        <w:pStyle w:val="BodyText"/>
        <w:ind w:left="720"/>
      </w:pPr>
      <w:r w:rsidRPr="00F82B79">
        <w:rPr>
          <w:b/>
          <w:i/>
        </w:rPr>
        <w:t>Income Approach</w:t>
      </w:r>
      <w:r>
        <w:t>: Value is estimated by capitalizing the net operating earnings of the company for the most recent three years. The earnings are weighted then divided by a capitalization rate to arrive at the value.</w:t>
      </w:r>
    </w:p>
    <w:p w:rsidR="003507EF" w:rsidRDefault="003507EF" w:rsidP="003507EF">
      <w:pPr>
        <w:pStyle w:val="BodyText"/>
        <w:ind w:left="720"/>
      </w:pPr>
      <w:r w:rsidRPr="00F82B79">
        <w:rPr>
          <w:b/>
          <w:i/>
        </w:rPr>
        <w:t>Market Approach</w:t>
      </w:r>
      <w:r>
        <w:rPr>
          <w:i/>
        </w:rPr>
        <w:t xml:space="preserve"> (or other indicator of value)</w:t>
      </w:r>
      <w:r>
        <w:t>: The market approach uses comparable sales to determine value. These sales may not exist, thus the commissioner has discretion to use or not use this or any other additional indicator of value.</w:t>
      </w:r>
    </w:p>
    <w:p w:rsidR="003507EF" w:rsidRDefault="003507EF" w:rsidP="003507EF">
      <w:pPr>
        <w:pStyle w:val="BodyText"/>
      </w:pPr>
      <w:r>
        <w:t>The unit val</w:t>
      </w:r>
      <w:r w:rsidR="00655900">
        <w:t>u</w:t>
      </w:r>
      <w:r>
        <w:t>e of the company is equal to the total weighted values calculated using the methods listed above. The total weighting must equal 100 percent. The default weights are: cost approach 50 percent, income approach 50 percent, market approach 0 percent.</w:t>
      </w:r>
    </w:p>
    <w:p w:rsidR="003507EF" w:rsidRDefault="003507EF" w:rsidP="003507EF">
      <w:pPr>
        <w:pStyle w:val="BodyText"/>
      </w:pPr>
    </w:p>
    <w:p w:rsidR="003507EF" w:rsidRDefault="003507EF" w:rsidP="003507EF">
      <w:pPr>
        <w:pStyle w:val="BodyText"/>
      </w:pPr>
    </w:p>
    <w:p w:rsidR="003507EF" w:rsidRPr="00BA2DE1" w:rsidRDefault="003507EF" w:rsidP="003507EF">
      <w:pPr>
        <w:pStyle w:val="BodyText"/>
        <w:rPr>
          <w:rFonts w:eastAsiaTheme="minorEastAsia"/>
        </w:rPr>
      </w:pPr>
    </w:p>
    <w:p w:rsidR="003507EF" w:rsidRDefault="003507EF" w:rsidP="003507EF">
      <w:pPr>
        <w:pStyle w:val="BodyText"/>
        <w:rPr>
          <w:u w:val="single"/>
        </w:rPr>
      </w:pPr>
      <w:r>
        <w:rPr>
          <w:noProof/>
        </w:rPr>
        <w:lastRenderedPageBreak/>
        <mc:AlternateContent>
          <mc:Choice Requires="wps">
            <w:drawing>
              <wp:anchor distT="0" distB="0" distL="114300" distR="114300" simplePos="0" relativeHeight="251663360" behindDoc="0" locked="0" layoutInCell="1" allowOverlap="1" wp14:anchorId="5FA3F746" wp14:editId="30521830">
                <wp:simplePos x="0" y="0"/>
                <wp:positionH relativeFrom="margin">
                  <wp:align>center</wp:align>
                </wp:positionH>
                <wp:positionV relativeFrom="paragraph">
                  <wp:posOffset>10160</wp:posOffset>
                </wp:positionV>
                <wp:extent cx="4105275" cy="2095500"/>
                <wp:effectExtent l="0" t="0" r="28575" b="22225"/>
                <wp:wrapNone/>
                <wp:docPr id="1" name="Text Box 1"/>
                <wp:cNvGraphicFramePr/>
                <a:graphic xmlns:a="http://schemas.openxmlformats.org/drawingml/2006/main">
                  <a:graphicData uri="http://schemas.microsoft.com/office/word/2010/wordprocessingShape">
                    <wps:wsp>
                      <wps:cNvSpPr txBox="1"/>
                      <wps:spPr bwMode="auto">
                        <a:xfrm>
                          <a:off x="0" y="0"/>
                          <a:ext cx="4105275" cy="2095500"/>
                        </a:xfrm>
                        <a:prstGeom prst="rect">
                          <a:avLst/>
                        </a:prstGeom>
                        <a:solidFill>
                          <a:srgbClr val="F9F9F9"/>
                        </a:solidFill>
                        <a:ln w="6350" cap="rnd">
                          <a:solidFill>
                            <a:schemeClr val="bg1">
                              <a:lumMod val="65000"/>
                            </a:schemeClr>
                          </a:solidFill>
                          <a:miter lim="800000"/>
                          <a:headEnd/>
                          <a:tailEnd/>
                        </a:ln>
                      </wps:spPr>
                      <wps:txbx>
                        <w:txbxContent>
                          <w:p w:rsidR="003507EF" w:rsidRDefault="003507EF" w:rsidP="003507EF">
                            <w:pPr>
                              <w:pStyle w:val="BodyText"/>
                            </w:pPr>
                            <w:r>
                              <w:rPr>
                                <w:b/>
                              </w:rPr>
                              <w:t>Example</w:t>
                            </w:r>
                          </w:p>
                          <w:p w:rsidR="003507EF" w:rsidRPr="00BA2DE1" w:rsidRDefault="003507EF" w:rsidP="003507EF">
                            <w:pPr>
                              <w:pStyle w:val="BodyText"/>
                              <w:rPr>
                                <w:rFonts w:eastAsiaTheme="minorEastAsia"/>
                              </w:rPr>
                            </w:pPr>
                            <w:r>
                              <w:t xml:space="preserve">Cost approach: </w:t>
                            </w:r>
                            <m:oMath>
                              <m:r>
                                <w:rPr>
                                  <w:rFonts w:ascii="Cambria Math" w:hAnsi="Cambria Math"/>
                                </w:rPr>
                                <m:t>$5,000,000 ×47.5%=$2,375,000</m:t>
                              </m:r>
                            </m:oMath>
                          </w:p>
                          <w:p w:rsidR="003507EF" w:rsidRPr="00BA2DE1" w:rsidRDefault="003507EF" w:rsidP="003507EF">
                            <w:pPr>
                              <w:pStyle w:val="BodyText"/>
                              <w:rPr>
                                <w:rFonts w:eastAsiaTheme="minorEastAsia"/>
                              </w:rPr>
                            </w:pPr>
                            <w:r>
                              <w:rPr>
                                <w:rFonts w:eastAsiaTheme="minorEastAsia"/>
                              </w:rPr>
                              <w:t xml:space="preserve">Income approach: </w:t>
                            </w:r>
                            <m:oMath>
                              <m:r>
                                <w:rPr>
                                  <w:rFonts w:ascii="Cambria Math" w:eastAsiaTheme="minorEastAsia" w:hAnsi="Cambria Math"/>
                                </w:rPr>
                                <m:t>$4,800,000 ×47.5%=$2,280,000</m:t>
                              </m:r>
                            </m:oMath>
                          </w:p>
                          <w:p w:rsidR="003507EF" w:rsidRPr="00BA2DE1" w:rsidRDefault="003507EF" w:rsidP="003507EF">
                            <w:pPr>
                              <w:pStyle w:val="BodyText"/>
                              <w:rPr>
                                <w:rFonts w:eastAsiaTheme="minorEastAsia"/>
                              </w:rPr>
                            </w:pPr>
                            <w:r>
                              <w:rPr>
                                <w:rFonts w:eastAsiaTheme="minorEastAsia"/>
                              </w:rPr>
                              <w:t xml:space="preserve">Market approach: </w:t>
                            </w:r>
                            <m:oMath>
                              <m:r>
                                <w:rPr>
                                  <w:rFonts w:ascii="Cambria Math" w:eastAsiaTheme="minorEastAsia" w:hAnsi="Cambria Math"/>
                                </w:rPr>
                                <m:t>$5,500,000 ×5%=$275,000</m:t>
                              </m:r>
                            </m:oMath>
                          </w:p>
                          <w:p w:rsidR="003507EF" w:rsidRPr="00BA2DE1" w:rsidRDefault="003507EF" w:rsidP="003507EF">
                            <w:pPr>
                              <w:pStyle w:val="BodyText"/>
                              <w:rPr>
                                <w:rFonts w:eastAsiaTheme="minorEastAsia"/>
                              </w:rPr>
                            </w:pPr>
                            <w:r>
                              <w:rPr>
                                <w:rFonts w:eastAsiaTheme="minorEastAsia"/>
                              </w:rPr>
                              <w:t xml:space="preserve">Unit value:  </w:t>
                            </w:r>
                            <m:oMath>
                              <m:r>
                                <w:rPr>
                                  <w:rFonts w:ascii="Cambria Math" w:eastAsiaTheme="minorEastAsia" w:hAnsi="Cambria Math"/>
                                </w:rPr>
                                <m:t>$2,375,000+$2,280,000+$275,000=$4,930,000</m:t>
                              </m:r>
                            </m:oMath>
                          </w:p>
                          <w:p w:rsidR="003507EF" w:rsidRDefault="003507EF" w:rsidP="003507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FA3F746" id="_x0000_t202" coordsize="21600,21600" o:spt="202" path="m,l,21600r21600,l21600,xe">
                <v:stroke joinstyle="miter"/>
                <v:path gradientshapeok="t" o:connecttype="rect"/>
              </v:shapetype>
              <v:shape id="Text Box 1" o:spid="_x0000_s1026" type="#_x0000_t202" style="position:absolute;margin-left:0;margin-top:.8pt;width:323.25pt;height:16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" fillcolor="#f9f9f9" strokecolor="#a5a5a5 [2092]" strokeweight=".5pt">
                <v:stroke endcap="round"/>
                <v:textbox style="mso-fit-shape-to-text:t">
                  <w:txbxContent>
                    <w:p w:rsidR="003507EF" w:rsidRDefault="003507EF" w:rsidP="003507EF">
                      <w:pPr>
                        <w:pStyle w:val="BodyText"/>
                      </w:pPr>
                      <w:r>
                        <w:rPr>
                          <w:b/>
                        </w:rPr>
                        <w:t>Example</w:t>
                      </w:r>
                    </w:p>
                    <w:p w:rsidR="003507EF" w:rsidRPr="00BA2DE1" w:rsidRDefault="003507EF" w:rsidP="003507EF">
                      <w:pPr>
                        <w:pStyle w:val="BodyText"/>
                        <w:rPr>
                          <w:rFonts w:eastAsiaTheme="minorEastAsia"/>
                        </w:rPr>
                      </w:pPr>
                      <w:r>
                        <w:t xml:space="preserve">Cost approach: </w:t>
                      </w:r>
                      <m:oMath>
                        <m:r>
                          <w:rPr>
                            <w:rFonts w:ascii="Cambria Math" w:hAnsi="Cambria Math"/>
                          </w:rPr>
                          <m:t>$5,000,000 ×47.5%=$2,375,000</m:t>
                        </m:r>
                      </m:oMath>
                    </w:p>
                    <w:p w:rsidR="003507EF" w:rsidRPr="00BA2DE1" w:rsidRDefault="003507EF" w:rsidP="003507EF">
                      <w:pPr>
                        <w:pStyle w:val="BodyText"/>
                        <w:rPr>
                          <w:rFonts w:eastAsiaTheme="minorEastAsia"/>
                        </w:rPr>
                      </w:pPr>
                      <w:r>
                        <w:rPr>
                          <w:rFonts w:eastAsiaTheme="minorEastAsia"/>
                        </w:rPr>
                        <w:t xml:space="preserve">Income approach: </w:t>
                      </w:r>
                      <m:oMath>
                        <m:r>
                          <w:rPr>
                            <w:rFonts w:ascii="Cambria Math" w:eastAsiaTheme="minorEastAsia" w:hAnsi="Cambria Math"/>
                          </w:rPr>
                          <m:t>$4,800,000 ×47.5%=$2,280,000</m:t>
                        </m:r>
                      </m:oMath>
                    </w:p>
                    <w:p w:rsidR="003507EF" w:rsidRPr="00BA2DE1" w:rsidRDefault="003507EF" w:rsidP="003507EF">
                      <w:pPr>
                        <w:pStyle w:val="BodyText"/>
                        <w:rPr>
                          <w:rFonts w:eastAsiaTheme="minorEastAsia"/>
                        </w:rPr>
                      </w:pPr>
                      <w:r>
                        <w:rPr>
                          <w:rFonts w:eastAsiaTheme="minorEastAsia"/>
                        </w:rPr>
                        <w:t xml:space="preserve">Market approach: </w:t>
                      </w:r>
                      <m:oMath>
                        <m:r>
                          <w:rPr>
                            <w:rFonts w:ascii="Cambria Math" w:eastAsiaTheme="minorEastAsia" w:hAnsi="Cambria Math"/>
                          </w:rPr>
                          <m:t>$5,500,000 ×5%=$275,000</m:t>
                        </m:r>
                      </m:oMath>
                    </w:p>
                    <w:p w:rsidR="003507EF" w:rsidRPr="00BA2DE1" w:rsidRDefault="003507EF" w:rsidP="003507EF">
                      <w:pPr>
                        <w:pStyle w:val="BodyText"/>
                        <w:rPr>
                          <w:rFonts w:eastAsiaTheme="minorEastAsia"/>
                        </w:rPr>
                      </w:pPr>
                      <w:r>
                        <w:rPr>
                          <w:rFonts w:eastAsiaTheme="minorEastAsia"/>
                        </w:rPr>
                        <w:t xml:space="preserve">Unit value:  </w:t>
                      </w:r>
                      <m:oMath>
                        <m:r>
                          <w:rPr>
                            <w:rFonts w:ascii="Cambria Math" w:eastAsiaTheme="minorEastAsia" w:hAnsi="Cambria Math"/>
                          </w:rPr>
                          <m:t>$2,375,000+$2,280,000+$275,000=$4,930,000</m:t>
                        </m:r>
                      </m:oMath>
                    </w:p>
                    <w:p w:rsidR="003507EF" w:rsidRDefault="003507EF" w:rsidP="003507EF"/>
                  </w:txbxContent>
                </v:textbox>
                <w10:wrap anchorx="margin"/>
              </v:shape>
            </w:pict>
          </mc:Fallback>
        </mc:AlternateContent>
      </w:r>
    </w:p>
    <w:p w:rsidR="003507EF" w:rsidRDefault="003507EF" w:rsidP="003507EF">
      <w:pPr>
        <w:pStyle w:val="BodyText"/>
        <w:rPr>
          <w:u w:val="single"/>
        </w:rPr>
      </w:pPr>
    </w:p>
    <w:p w:rsidR="003507EF" w:rsidRDefault="003507EF" w:rsidP="003507EF">
      <w:pPr>
        <w:pStyle w:val="BodyText"/>
        <w:rPr>
          <w:u w:val="single"/>
        </w:rPr>
      </w:pPr>
    </w:p>
    <w:p w:rsidR="003507EF" w:rsidRDefault="003507EF" w:rsidP="003507EF">
      <w:pPr>
        <w:pStyle w:val="BodyText"/>
        <w:rPr>
          <w:u w:val="single"/>
        </w:rPr>
      </w:pPr>
    </w:p>
    <w:p w:rsidR="003507EF" w:rsidRDefault="003507EF" w:rsidP="003507EF">
      <w:pPr>
        <w:pStyle w:val="BodyText"/>
        <w:rPr>
          <w:u w:val="single"/>
        </w:rPr>
      </w:pPr>
    </w:p>
    <w:p w:rsidR="003507EF" w:rsidRDefault="003507EF" w:rsidP="003507EF">
      <w:pPr>
        <w:pStyle w:val="BodyText"/>
        <w:rPr>
          <w:u w:val="single"/>
        </w:rPr>
      </w:pPr>
    </w:p>
    <w:p w:rsidR="003507EF" w:rsidRDefault="003507EF" w:rsidP="003507EF">
      <w:pPr>
        <w:pStyle w:val="BodyText"/>
        <w:rPr>
          <w:u w:val="single"/>
        </w:rPr>
      </w:pPr>
    </w:p>
    <w:p w:rsidR="003507EF" w:rsidRDefault="003507EF" w:rsidP="003507EF">
      <w:pPr>
        <w:pStyle w:val="BodyText"/>
      </w:pPr>
      <w:r>
        <w:rPr>
          <w:u w:val="single"/>
        </w:rPr>
        <w:t>Allocation</w:t>
      </w:r>
    </w:p>
    <w:p w:rsidR="003507EF" w:rsidRDefault="003507EF" w:rsidP="003507EF">
      <w:pPr>
        <w:pStyle w:val="BodyText"/>
      </w:pPr>
      <w:r>
        <w:t>After the unit value is established, the portion of the value which is attributable to Minnesota must be determined. This process is different, depending on whether the company is a pipeline, gas distribution, or electric company.</w:t>
      </w:r>
    </w:p>
    <w:p w:rsidR="003507EF" w:rsidRDefault="003507EF" w:rsidP="003507EF">
      <w:pPr>
        <w:pStyle w:val="BodyText"/>
      </w:pPr>
      <w:r>
        <w:rPr>
          <w:noProof/>
        </w:rPr>
        <mc:AlternateContent>
          <mc:Choice Requires="wps">
            <w:drawing>
              <wp:anchor distT="0" distB="0" distL="114300" distR="114300" simplePos="0" relativeHeight="251664384" behindDoc="0" locked="0" layoutInCell="1" allowOverlap="1" wp14:anchorId="5876C885" wp14:editId="5FF78369">
                <wp:simplePos x="0" y="0"/>
                <wp:positionH relativeFrom="margin">
                  <wp:align>center</wp:align>
                </wp:positionH>
                <wp:positionV relativeFrom="paragraph">
                  <wp:posOffset>13970</wp:posOffset>
                </wp:positionV>
                <wp:extent cx="5410200" cy="2305050"/>
                <wp:effectExtent l="0" t="0" r="19050" b="17145"/>
                <wp:wrapNone/>
                <wp:docPr id="3" name="Text Box 3"/>
                <wp:cNvGraphicFramePr/>
                <a:graphic xmlns:a="http://schemas.openxmlformats.org/drawingml/2006/main">
                  <a:graphicData uri="http://schemas.microsoft.com/office/word/2010/wordprocessingShape">
                    <wps:wsp>
                      <wps:cNvSpPr txBox="1"/>
                      <wps:spPr bwMode="auto">
                        <a:xfrm>
                          <a:off x="0" y="0"/>
                          <a:ext cx="5410200" cy="2305050"/>
                        </a:xfrm>
                        <a:prstGeom prst="rect">
                          <a:avLst/>
                        </a:prstGeom>
                        <a:solidFill>
                          <a:srgbClr val="F9F9F9"/>
                        </a:solidFill>
                        <a:ln w="6350" cap="rnd">
                          <a:solidFill>
                            <a:schemeClr val="bg1">
                              <a:lumMod val="65000"/>
                            </a:schemeClr>
                          </a:solidFill>
                          <a:miter lim="800000"/>
                          <a:headEnd/>
                          <a:tailEnd/>
                        </a:ln>
                      </wps:spPr>
                      <wps:txbx>
                        <w:txbxContent>
                          <w:p w:rsidR="003507EF" w:rsidRDefault="003507EF" w:rsidP="003507EF">
                            <w:pPr>
                              <w:pStyle w:val="BodyText"/>
                            </w:pPr>
                            <w:r>
                              <w:rPr>
                                <w:b/>
                              </w:rPr>
                              <w:t>Pipeline Example</w:t>
                            </w:r>
                          </w:p>
                          <w:p w:rsidR="003507EF" w:rsidRPr="00C0508A" w:rsidRDefault="003507EF" w:rsidP="003507EF">
                            <w:pPr>
                              <w:pStyle w:val="BodyText"/>
                              <w:rPr>
                                <w:rFonts w:eastAsiaTheme="minorEastAsia"/>
                              </w:rPr>
                            </w:pPr>
                            <w:r>
                              <w:t xml:space="preserve">Minnesota Plant Cost: </w:t>
                            </w:r>
                            <m:oMath>
                              <m:r>
                                <w:rPr>
                                  <w:rFonts w:ascii="Cambria Math" w:hAnsi="Cambria Math"/>
                                </w:rPr>
                                <m:t>$13,500,000</m:t>
                              </m:r>
                            </m:oMath>
                          </w:p>
                          <w:p w:rsidR="003507EF" w:rsidRPr="00C0508A" w:rsidRDefault="003507EF" w:rsidP="003507EF">
                            <w:pPr>
                              <w:pStyle w:val="BodyText"/>
                              <w:rPr>
                                <w:rFonts w:eastAsiaTheme="minorEastAsia"/>
                              </w:rPr>
                            </w:pPr>
                            <w:r>
                              <w:rPr>
                                <w:rFonts w:eastAsiaTheme="minorEastAsia"/>
                              </w:rPr>
                              <w:t xml:space="preserve">Total System Plant Cost: </w:t>
                            </w:r>
                            <m:oMath>
                              <m:r>
                                <w:rPr>
                                  <w:rFonts w:ascii="Cambria Math" w:eastAsiaTheme="minorEastAsia" w:hAnsi="Cambria Math"/>
                                </w:rPr>
                                <m:t>$39,300,000</m:t>
                              </m:r>
                            </m:oMath>
                          </w:p>
                          <w:p w:rsidR="003507EF" w:rsidRPr="00C0508A" w:rsidRDefault="003507EF" w:rsidP="003507EF">
                            <w:pPr>
                              <w:pStyle w:val="BodyText"/>
                              <w:rPr>
                                <w:rFonts w:eastAsiaTheme="minorEastAsia"/>
                              </w:rPr>
                            </w:pPr>
                            <w:r>
                              <w:rPr>
                                <w:rFonts w:eastAsiaTheme="minorEastAsia"/>
                              </w:rPr>
                              <w:t xml:space="preserve">Minnesota Throughput (product that passes through pipeline): </w:t>
                            </w:r>
                            <m:oMath>
                              <m:r>
                                <w:rPr>
                                  <w:rFonts w:ascii="Cambria Math" w:eastAsiaTheme="minorEastAsia" w:hAnsi="Cambria Math"/>
                                </w:rPr>
                                <m:t>8,940,000</m:t>
                              </m:r>
                            </m:oMath>
                          </w:p>
                          <w:p w:rsidR="003507EF" w:rsidRPr="00C0508A" w:rsidRDefault="003507EF" w:rsidP="003507EF">
                            <w:pPr>
                              <w:pStyle w:val="BodyText"/>
                              <w:rPr>
                                <w:rFonts w:eastAsiaTheme="minorEastAsia"/>
                              </w:rPr>
                            </w:pPr>
                            <w:r>
                              <w:rPr>
                                <w:rFonts w:eastAsiaTheme="minorEastAsia"/>
                              </w:rPr>
                              <w:t xml:space="preserve">Total System Throughput: </w:t>
                            </w:r>
                            <m:oMath>
                              <m:r>
                                <w:rPr>
                                  <w:rFonts w:ascii="Cambria Math" w:eastAsiaTheme="minorEastAsia" w:hAnsi="Cambria Math"/>
                                </w:rPr>
                                <m:t>27,900,000</m:t>
                              </m:r>
                            </m:oMath>
                          </w:p>
                          <w:p w:rsidR="003507EF" w:rsidRPr="00C0508A" w:rsidRDefault="003507EF" w:rsidP="003507EF">
                            <w:pPr>
                              <w:pStyle w:val="BodyText"/>
                              <w:rPr>
                                <w:rFonts w:eastAsiaTheme="minorEastAsia"/>
                              </w:rPr>
                            </w:pPr>
                            <w:r>
                              <w:rPr>
                                <w:rFonts w:eastAsiaTheme="minorEastAsia"/>
                              </w:rPr>
                              <w:t xml:space="preserve">Total Percentage Allocated to Minnesota: </w:t>
                            </w:r>
                            <m:oMath>
                              <m:r>
                                <w:rPr>
                                  <w:rFonts w:ascii="Cambria Math" w:eastAsiaTheme="minorEastAsia" w:hAnsi="Cambria Math"/>
                                </w:rPr>
                                <m:t>75%</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13,500,000</m:t>
                                      </m:r>
                                    </m:num>
                                    <m:den>
                                      <m:r>
                                        <w:rPr>
                                          <w:rFonts w:ascii="Cambria Math" w:eastAsiaTheme="minorEastAsia" w:hAnsi="Cambria Math"/>
                                        </w:rPr>
                                        <m:t>39,300,000</m:t>
                                      </m:r>
                                    </m:den>
                                  </m:f>
                                </m:e>
                              </m:d>
                              <m:r>
                                <w:rPr>
                                  <w:rFonts w:ascii="Cambria Math" w:eastAsiaTheme="minorEastAsia" w:hAnsi="Cambria Math"/>
                                </w:rPr>
                                <m:t>+25%</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8,940,000</m:t>
                                      </m:r>
                                    </m:num>
                                    <m:den>
                                      <m:r>
                                        <w:rPr>
                                          <w:rFonts w:ascii="Cambria Math" w:eastAsiaTheme="minorEastAsia" w:hAnsi="Cambria Math"/>
                                        </w:rPr>
                                        <m:t>27,900,000</m:t>
                                      </m:r>
                                    </m:den>
                                  </m:f>
                                </m:e>
                              </m:d>
                              <m:r>
                                <w:rPr>
                                  <w:rFonts w:ascii="Cambria Math" w:eastAsiaTheme="minorEastAsia" w:hAnsi="Cambria Math"/>
                                </w:rPr>
                                <m:t>=33.76%</m:t>
                              </m:r>
                            </m:oMath>
                          </w:p>
                          <w:p w:rsidR="003507EF" w:rsidRDefault="003507EF" w:rsidP="003507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876C885" id="Text Box 3" o:spid="_x0000_s1027" type="#_x0000_t202" style="position:absolute;margin-left:0;margin-top:1.1pt;width:426pt;height:181.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" fillcolor="#f9f9f9" strokecolor="#a5a5a5 [2092]" strokeweight=".5pt">
                <v:stroke endcap="round"/>
                <v:textbox style="mso-fit-shape-to-text:t">
                  <w:txbxContent>
                    <w:p w:rsidR="003507EF" w:rsidRDefault="003507EF" w:rsidP="003507EF">
                      <w:pPr>
                        <w:pStyle w:val="BodyText"/>
                      </w:pPr>
                      <w:r>
                        <w:rPr>
                          <w:b/>
                        </w:rPr>
                        <w:t>Pipeline Example</w:t>
                      </w:r>
                    </w:p>
                    <w:p w:rsidR="003507EF" w:rsidRPr="00C0508A" w:rsidRDefault="003507EF" w:rsidP="003507EF">
                      <w:pPr>
                        <w:pStyle w:val="BodyText"/>
                        <w:rPr>
                          <w:rFonts w:eastAsiaTheme="minorEastAsia"/>
                        </w:rPr>
                      </w:pPr>
                      <w:r>
                        <w:t xml:space="preserve">Minnesota Plant Cost: </w:t>
                      </w:r>
                      <m:oMath>
                        <m:r>
                          <w:rPr>
                            <w:rFonts w:ascii="Cambria Math" w:hAnsi="Cambria Math"/>
                          </w:rPr>
                          <m:t>$13,500,000</m:t>
                        </m:r>
                      </m:oMath>
                    </w:p>
                    <w:p w:rsidR="003507EF" w:rsidRPr="00C0508A" w:rsidRDefault="003507EF" w:rsidP="003507EF">
                      <w:pPr>
                        <w:pStyle w:val="BodyText"/>
                        <w:rPr>
                          <w:rFonts w:eastAsiaTheme="minorEastAsia"/>
                        </w:rPr>
                      </w:pPr>
                      <w:r>
                        <w:rPr>
                          <w:rFonts w:eastAsiaTheme="minorEastAsia"/>
                        </w:rPr>
                        <w:t xml:space="preserve">Total System Plant Cost: </w:t>
                      </w:r>
                      <m:oMath>
                        <m:r>
                          <w:rPr>
                            <w:rFonts w:ascii="Cambria Math" w:eastAsiaTheme="minorEastAsia" w:hAnsi="Cambria Math"/>
                          </w:rPr>
                          <m:t>$39,300,000</m:t>
                        </m:r>
                      </m:oMath>
                    </w:p>
                    <w:p w:rsidR="003507EF" w:rsidRPr="00C0508A" w:rsidRDefault="003507EF" w:rsidP="003507EF">
                      <w:pPr>
                        <w:pStyle w:val="BodyText"/>
                        <w:rPr>
                          <w:rFonts w:eastAsiaTheme="minorEastAsia"/>
                        </w:rPr>
                      </w:pPr>
                      <w:r>
                        <w:rPr>
                          <w:rFonts w:eastAsiaTheme="minorEastAsia"/>
                        </w:rPr>
                        <w:t xml:space="preserve">Minnesota Throughput (product that passes through pipeline): </w:t>
                      </w:r>
                      <m:oMath>
                        <m:r>
                          <w:rPr>
                            <w:rFonts w:ascii="Cambria Math" w:eastAsiaTheme="minorEastAsia" w:hAnsi="Cambria Math"/>
                          </w:rPr>
                          <m:t>8,940,000</m:t>
                        </m:r>
                      </m:oMath>
                    </w:p>
                    <w:p w:rsidR="003507EF" w:rsidRPr="00C0508A" w:rsidRDefault="003507EF" w:rsidP="003507EF">
                      <w:pPr>
                        <w:pStyle w:val="BodyText"/>
                        <w:rPr>
                          <w:rFonts w:eastAsiaTheme="minorEastAsia"/>
                        </w:rPr>
                      </w:pPr>
                      <w:r>
                        <w:rPr>
                          <w:rFonts w:eastAsiaTheme="minorEastAsia"/>
                        </w:rPr>
                        <w:t xml:space="preserve">Total System Throughput: </w:t>
                      </w:r>
                      <m:oMath>
                        <m:r>
                          <w:rPr>
                            <w:rFonts w:ascii="Cambria Math" w:eastAsiaTheme="minorEastAsia" w:hAnsi="Cambria Math"/>
                          </w:rPr>
                          <m:t>27,900,000</m:t>
                        </m:r>
                      </m:oMath>
                    </w:p>
                    <w:p w:rsidR="003507EF" w:rsidRPr="00C0508A" w:rsidRDefault="003507EF" w:rsidP="003507EF">
                      <w:pPr>
                        <w:pStyle w:val="BodyText"/>
                        <w:rPr>
                          <w:rFonts w:eastAsiaTheme="minorEastAsia"/>
                        </w:rPr>
                      </w:pPr>
                      <w:r>
                        <w:rPr>
                          <w:rFonts w:eastAsiaTheme="minorEastAsia"/>
                        </w:rPr>
                        <w:t xml:space="preserve">Total Percentage Allocated to Minnesota: </w:t>
                      </w:r>
                      <m:oMath>
                        <m:r>
                          <w:rPr>
                            <w:rFonts w:ascii="Cambria Math" w:eastAsiaTheme="minorEastAsia" w:hAnsi="Cambria Math"/>
                          </w:rPr>
                          <m:t>75%</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13,500,000</m:t>
                                </m:r>
                              </m:num>
                              <m:den>
                                <m:r>
                                  <w:rPr>
                                    <w:rFonts w:ascii="Cambria Math" w:eastAsiaTheme="minorEastAsia" w:hAnsi="Cambria Math"/>
                                  </w:rPr>
                                  <m:t>39,300,000</m:t>
                                </m:r>
                              </m:den>
                            </m:f>
                          </m:e>
                        </m:d>
                        <m:r>
                          <w:rPr>
                            <w:rFonts w:ascii="Cambria Math" w:eastAsiaTheme="minorEastAsia" w:hAnsi="Cambria Math"/>
                          </w:rPr>
                          <m:t>+25%</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8,940,000</m:t>
                                </m:r>
                              </m:num>
                              <m:den>
                                <m:r>
                                  <w:rPr>
                                    <w:rFonts w:ascii="Cambria Math" w:eastAsiaTheme="minorEastAsia" w:hAnsi="Cambria Math"/>
                                  </w:rPr>
                                  <m:t>27,900,000</m:t>
                                </m:r>
                              </m:den>
                            </m:f>
                          </m:e>
                        </m:d>
                        <m:r>
                          <w:rPr>
                            <w:rFonts w:ascii="Cambria Math" w:eastAsiaTheme="minorEastAsia" w:hAnsi="Cambria Math"/>
                          </w:rPr>
                          <m:t>=33.76%</m:t>
                        </m:r>
                      </m:oMath>
                    </w:p>
                    <w:p w:rsidR="003507EF" w:rsidRDefault="003507EF" w:rsidP="003507EF"/>
                  </w:txbxContent>
                </v:textbox>
                <w10:wrap anchorx="margin"/>
              </v:shape>
            </w:pict>
          </mc:Fallback>
        </mc:AlternateContent>
      </w:r>
    </w:p>
    <w:p w:rsidR="003507EF" w:rsidRDefault="003507EF" w:rsidP="003507EF">
      <w:pPr>
        <w:pStyle w:val="BodyText"/>
        <w:rPr>
          <w:rFonts w:eastAsiaTheme="minorEastAsia"/>
        </w:rPr>
      </w:pPr>
    </w:p>
    <w:p w:rsidR="003507EF" w:rsidRDefault="003507EF" w:rsidP="003507EF">
      <w:pPr>
        <w:pStyle w:val="BodyText"/>
        <w:rPr>
          <w:rFonts w:eastAsiaTheme="minorEastAsia"/>
        </w:rPr>
      </w:pPr>
    </w:p>
    <w:p w:rsidR="003507EF" w:rsidRDefault="003507EF" w:rsidP="003507EF">
      <w:pPr>
        <w:pStyle w:val="BodyText"/>
        <w:rPr>
          <w:rFonts w:eastAsiaTheme="minorEastAsia"/>
        </w:rPr>
      </w:pPr>
    </w:p>
    <w:p w:rsidR="003507EF" w:rsidRDefault="003507EF" w:rsidP="003507EF">
      <w:pPr>
        <w:pStyle w:val="BodyText"/>
        <w:rPr>
          <w:rFonts w:eastAsiaTheme="minorEastAsia"/>
        </w:rPr>
      </w:pPr>
    </w:p>
    <w:p w:rsidR="003507EF" w:rsidRDefault="003507EF" w:rsidP="003507EF">
      <w:pPr>
        <w:pStyle w:val="BodyText"/>
        <w:rPr>
          <w:rFonts w:eastAsiaTheme="minorEastAsia"/>
        </w:rPr>
      </w:pPr>
    </w:p>
    <w:p w:rsidR="003507EF" w:rsidRDefault="003507EF" w:rsidP="003507EF">
      <w:pPr>
        <w:pStyle w:val="BodyText"/>
        <w:rPr>
          <w:rFonts w:eastAsiaTheme="minorEastAsia"/>
        </w:rPr>
      </w:pPr>
    </w:p>
    <w:p w:rsidR="003507EF" w:rsidRDefault="003507EF" w:rsidP="003507EF">
      <w:pPr>
        <w:pStyle w:val="BodyText"/>
        <w:rPr>
          <w:rFonts w:eastAsiaTheme="minorEastAsia"/>
        </w:rPr>
      </w:pPr>
    </w:p>
    <w:p w:rsidR="002755B6" w:rsidRPr="00C0508A" w:rsidRDefault="002755B6" w:rsidP="003507EF">
      <w:pPr>
        <w:pStyle w:val="BodyText"/>
        <w:rPr>
          <w:rFonts w:eastAsiaTheme="minorEastAsia"/>
        </w:rPr>
      </w:pPr>
    </w:p>
    <w:p w:rsidR="00C33DEC" w:rsidRDefault="003507EF" w:rsidP="003507EF">
      <w:pPr>
        <w:pStyle w:val="BodyText"/>
      </w:pPr>
      <w:r>
        <w:rPr>
          <w:u w:val="single"/>
        </w:rPr>
        <w:t>Apportionment</w:t>
      </w:r>
    </w:p>
    <w:p w:rsidR="003507EF" w:rsidRPr="00247AFC" w:rsidRDefault="003507EF" w:rsidP="003507EF">
      <w:pPr>
        <w:pStyle w:val="BodyText"/>
      </w:pPr>
      <w:r>
        <w:t xml:space="preserve">After the unit value of the company has been allocated to Minnesota, the allocated amount is apportioned to the taxing districts (e.g. </w:t>
      </w:r>
      <w:r w:rsidR="00655900">
        <w:t>c</w:t>
      </w:r>
      <w:r>
        <w:t xml:space="preserve">ounty, </w:t>
      </w:r>
      <w:r w:rsidR="00655900">
        <w:t>c</w:t>
      </w:r>
      <w:r>
        <w:t>ity/</w:t>
      </w:r>
      <w:r w:rsidR="00655900">
        <w:t>t</w:t>
      </w:r>
      <w:r>
        <w:t xml:space="preserve">ownship, </w:t>
      </w:r>
      <w:r w:rsidR="00655900">
        <w:t>s</w:t>
      </w:r>
      <w:r>
        <w:t>chool</w:t>
      </w:r>
      <w:r w:rsidR="00655900">
        <w:t xml:space="preserve"> d</w:t>
      </w:r>
      <w:r>
        <w:t>istrict) in the state in which the company operates. The value is allocated by the cost of the company’s property in each taxing area.</w:t>
      </w:r>
    </w:p>
    <w:p w:rsidR="003507EF" w:rsidRPr="003507EF" w:rsidRDefault="003507EF" w:rsidP="003507EF">
      <w:pPr>
        <w:pStyle w:val="BodyText"/>
      </w:pPr>
    </w:p>
    <w:sectPr w:rsidR="003507EF" w:rsidRPr="003507EF" w:rsidSect="00AF576D">
      <w:headerReference w:type="default" r:id="rId9"/>
      <w:footerReference w:type="default" r:id="rId10"/>
      <w:footerReference w:type="first" r:id="rId11"/>
      <w:endnotePr>
        <w:numFmt w:val="decimal"/>
      </w:endnotePr>
      <w:type w:val="continuous"/>
      <w:pgSz w:w="12240" w:h="15840" w:code="1"/>
      <w:pgMar w:top="432" w:right="1440" w:bottom="432" w:left="1440" w:header="432" w:footer="432"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0F8" w:rsidRDefault="005970F8" w:rsidP="003C1522">
      <w:r>
        <w:separator/>
      </w:r>
    </w:p>
  </w:endnote>
  <w:endnote w:type="continuationSeparator" w:id="0">
    <w:p w:rsidR="005970F8" w:rsidRDefault="005970F8" w:rsidP="003C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AA" w:rsidRPr="00D00E13" w:rsidRDefault="00997C2F" w:rsidP="00C33DEC">
    <w:pPr>
      <w:pStyle w:val="Footer"/>
    </w:pPr>
    <w:r w:rsidRPr="00D00E13">
      <w:t xml:space="preserve">Minnesota House Research </w:t>
    </w:r>
    <w:r w:rsidRPr="005B7969">
      <w:t>Department</w:t>
    </w:r>
    <w:r w:rsidR="00AB58AA" w:rsidRPr="00D00E13">
      <w:tab/>
    </w:r>
    <w:r w:rsidR="00AE5CEE" w:rsidRPr="00D00E13">
      <w:t xml:space="preserve">Page </w:t>
    </w:r>
    <w:r w:rsidR="00AB58AA" w:rsidRPr="00D00E13">
      <w:fldChar w:fldCharType="begin"/>
    </w:r>
    <w:r w:rsidR="00AB58AA" w:rsidRPr="00D00E13">
      <w:instrText xml:space="preserve"> PAGE   \* MERGEFORMAT </w:instrText>
    </w:r>
    <w:r w:rsidR="00AB58AA" w:rsidRPr="00D00E13">
      <w:fldChar w:fldCharType="separate"/>
    </w:r>
    <w:r w:rsidR="00402D72">
      <w:rPr>
        <w:noProof/>
      </w:rPr>
      <w:t>2</w:t>
    </w:r>
    <w:r w:rsidR="00AB58AA" w:rsidRPr="00D00E1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22C" w:rsidRDefault="00C83F9D">
    <w:pPr>
      <w:pStyle w:val="Footer"/>
    </w:pPr>
    <w:r w:rsidRPr="00C33DEC">
      <w:tab/>
    </w:r>
    <w:r w:rsidRPr="00F33F50">
      <w:t>By</w:t>
    </w:r>
    <w:r w:rsidR="002423DF">
      <w:t xml:space="preserve"> </w:t>
    </w:r>
    <w:r w:rsidR="008D722C">
      <w:rPr>
        <w:rStyle w:val="Heading-Inline"/>
      </w:rPr>
      <w:t>Jared Swanson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0F8" w:rsidRDefault="005970F8" w:rsidP="003C1522">
      <w:r>
        <w:separator/>
      </w:r>
    </w:p>
  </w:footnote>
  <w:footnote w:type="continuationSeparator" w:id="0">
    <w:p w:rsidR="005970F8" w:rsidRDefault="005970F8" w:rsidP="003C1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22C" w:rsidRPr="00C33DEC" w:rsidRDefault="008D722C" w:rsidP="008D722C">
    <w:pPr>
      <w:pStyle w:val="Header"/>
    </w:pPr>
    <w:r>
      <w:t>State-Assessed Property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4203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5C08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E60C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C1A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900CB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3C51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F622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DA73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36EC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909A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A949CD"/>
    <w:multiLevelType w:val="hybridMultilevel"/>
    <w:tmpl w:val="4686DA6C"/>
    <w:lvl w:ilvl="0" w:tplc="045A4574">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69176A"/>
    <w:multiLevelType w:val="hybridMultilevel"/>
    <w:tmpl w:val="C6FAE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F05FB"/>
    <w:multiLevelType w:val="hybridMultilevel"/>
    <w:tmpl w:val="4A4CD06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3" w15:restartNumberingAfterBreak="0">
    <w:nsid w:val="42D474AE"/>
    <w:multiLevelType w:val="hybridMultilevel"/>
    <w:tmpl w:val="2B2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12EE6"/>
    <w:multiLevelType w:val="multilevel"/>
    <w:tmpl w:val="9856B3AE"/>
    <w:lvl w:ilvl="0">
      <w:start w:val="1"/>
      <w:numFmt w:val="bullet"/>
      <w:lvlText w:val=""/>
      <w:lvlJc w:val="left"/>
      <w:pPr>
        <w:ind w:left="360" w:hanging="360"/>
      </w:pPr>
      <w:rPr>
        <w:rFonts w:ascii="Wingdings 2" w:hAnsi="Wingdings 2" w:hint="default"/>
        <w:color w:val="404040" w:themeColor="text1" w:themeTint="B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BD1095"/>
    <w:multiLevelType w:val="hybridMultilevel"/>
    <w:tmpl w:val="B98242D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6" w15:restartNumberingAfterBreak="0">
    <w:nsid w:val="537F0171"/>
    <w:multiLevelType w:val="hybridMultilevel"/>
    <w:tmpl w:val="6B48056A"/>
    <w:lvl w:ilvl="0" w:tplc="2C228C0E">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76104"/>
    <w:multiLevelType w:val="hybridMultilevel"/>
    <w:tmpl w:val="483A5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697C"/>
    <w:multiLevelType w:val="hybridMultilevel"/>
    <w:tmpl w:val="1A66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76F3B"/>
    <w:multiLevelType w:val="hybridMultilevel"/>
    <w:tmpl w:val="EE7A6430"/>
    <w:lvl w:ilvl="0" w:tplc="21DA028C">
      <w:start w:val="1"/>
      <w:numFmt w:val="bullet"/>
      <w:lvlText w:val=""/>
      <w:lvlJc w:val="left"/>
      <w:pPr>
        <w:ind w:left="720" w:hanging="360"/>
      </w:pPr>
      <w:rPr>
        <w:rFonts w:ascii="Wingdings 2" w:hAnsi="Wingdings 2"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7"/>
  </w:num>
  <w:num w:numId="13">
    <w:abstractNumId w:val="19"/>
  </w:num>
  <w:num w:numId="14">
    <w:abstractNumId w:val="16"/>
  </w:num>
  <w:num w:numId="15">
    <w:abstractNumId w:val="11"/>
  </w:num>
  <w:num w:numId="16">
    <w:abstractNumId w:val="10"/>
  </w:num>
  <w:num w:numId="17">
    <w:abstractNumId w:val="15"/>
  </w:num>
  <w:num w:numId="18">
    <w:abstractNumId w:val="12"/>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oterHeightFirstPage" w:val="59.25"/>
    <w:docVar w:name="FooterHeightPrimary" w:val="59.25"/>
  </w:docVars>
  <w:rsids>
    <w:rsidRoot w:val="003507EF"/>
    <w:rsid w:val="00010C51"/>
    <w:rsid w:val="00013676"/>
    <w:rsid w:val="00017850"/>
    <w:rsid w:val="00032673"/>
    <w:rsid w:val="00033FA7"/>
    <w:rsid w:val="0005464C"/>
    <w:rsid w:val="00067858"/>
    <w:rsid w:val="000749FA"/>
    <w:rsid w:val="000869CF"/>
    <w:rsid w:val="000A656E"/>
    <w:rsid w:val="000B60CD"/>
    <w:rsid w:val="000C701F"/>
    <w:rsid w:val="000D5033"/>
    <w:rsid w:val="000F56C1"/>
    <w:rsid w:val="00120035"/>
    <w:rsid w:val="001224E1"/>
    <w:rsid w:val="00130D4E"/>
    <w:rsid w:val="00130FD6"/>
    <w:rsid w:val="0013360D"/>
    <w:rsid w:val="001371B2"/>
    <w:rsid w:val="0014103C"/>
    <w:rsid w:val="0014189D"/>
    <w:rsid w:val="00141A01"/>
    <w:rsid w:val="00155E8D"/>
    <w:rsid w:val="00163278"/>
    <w:rsid w:val="00163976"/>
    <w:rsid w:val="00166013"/>
    <w:rsid w:val="001763AC"/>
    <w:rsid w:val="00177E23"/>
    <w:rsid w:val="00195611"/>
    <w:rsid w:val="001B0362"/>
    <w:rsid w:val="001B5915"/>
    <w:rsid w:val="001C05F9"/>
    <w:rsid w:val="001C72E0"/>
    <w:rsid w:val="001D468E"/>
    <w:rsid w:val="001D613D"/>
    <w:rsid w:val="001E7295"/>
    <w:rsid w:val="0020202D"/>
    <w:rsid w:val="00206357"/>
    <w:rsid w:val="002423DF"/>
    <w:rsid w:val="00250166"/>
    <w:rsid w:val="002536CE"/>
    <w:rsid w:val="002755B6"/>
    <w:rsid w:val="002A0444"/>
    <w:rsid w:val="002A3A14"/>
    <w:rsid w:val="002C048E"/>
    <w:rsid w:val="002C2C72"/>
    <w:rsid w:val="002C486D"/>
    <w:rsid w:val="002D3D48"/>
    <w:rsid w:val="002D5960"/>
    <w:rsid w:val="002E1365"/>
    <w:rsid w:val="002E648C"/>
    <w:rsid w:val="002F3FB0"/>
    <w:rsid w:val="002F68B7"/>
    <w:rsid w:val="0032141F"/>
    <w:rsid w:val="0032500A"/>
    <w:rsid w:val="00330D5D"/>
    <w:rsid w:val="003326C5"/>
    <w:rsid w:val="003507EF"/>
    <w:rsid w:val="00351965"/>
    <w:rsid w:val="00360106"/>
    <w:rsid w:val="00367738"/>
    <w:rsid w:val="00373772"/>
    <w:rsid w:val="003821E4"/>
    <w:rsid w:val="00382B93"/>
    <w:rsid w:val="003916DE"/>
    <w:rsid w:val="003934FF"/>
    <w:rsid w:val="00393D4E"/>
    <w:rsid w:val="003958AF"/>
    <w:rsid w:val="003C1522"/>
    <w:rsid w:val="003D0E2D"/>
    <w:rsid w:val="003D3C32"/>
    <w:rsid w:val="003F0102"/>
    <w:rsid w:val="003F6EF3"/>
    <w:rsid w:val="00402D72"/>
    <w:rsid w:val="00406F93"/>
    <w:rsid w:val="004167F0"/>
    <w:rsid w:val="00420799"/>
    <w:rsid w:val="00422216"/>
    <w:rsid w:val="004238E9"/>
    <w:rsid w:val="0042553F"/>
    <w:rsid w:val="00427695"/>
    <w:rsid w:val="00427F50"/>
    <w:rsid w:val="00432F5B"/>
    <w:rsid w:val="00460AAE"/>
    <w:rsid w:val="00481C06"/>
    <w:rsid w:val="00483E12"/>
    <w:rsid w:val="00486EAB"/>
    <w:rsid w:val="004B2504"/>
    <w:rsid w:val="004B26A5"/>
    <w:rsid w:val="004B4131"/>
    <w:rsid w:val="004E6F42"/>
    <w:rsid w:val="004F03FE"/>
    <w:rsid w:val="004F5222"/>
    <w:rsid w:val="00500F72"/>
    <w:rsid w:val="00503770"/>
    <w:rsid w:val="005163E8"/>
    <w:rsid w:val="005306F2"/>
    <w:rsid w:val="0053205A"/>
    <w:rsid w:val="0053459C"/>
    <w:rsid w:val="00543CF4"/>
    <w:rsid w:val="00560E0F"/>
    <w:rsid w:val="00577AA5"/>
    <w:rsid w:val="005970F8"/>
    <w:rsid w:val="005B1570"/>
    <w:rsid w:val="005B27E9"/>
    <w:rsid w:val="005B4D2E"/>
    <w:rsid w:val="005B6454"/>
    <w:rsid w:val="005B7969"/>
    <w:rsid w:val="005D7BF8"/>
    <w:rsid w:val="00604EBC"/>
    <w:rsid w:val="00615388"/>
    <w:rsid w:val="00631D94"/>
    <w:rsid w:val="00655900"/>
    <w:rsid w:val="006D23B7"/>
    <w:rsid w:val="006E0FDE"/>
    <w:rsid w:val="006E4FD5"/>
    <w:rsid w:val="006E6C5D"/>
    <w:rsid w:val="007149FB"/>
    <w:rsid w:val="0071782F"/>
    <w:rsid w:val="00720F88"/>
    <w:rsid w:val="0074049E"/>
    <w:rsid w:val="007536DF"/>
    <w:rsid w:val="007723A0"/>
    <w:rsid w:val="007836EF"/>
    <w:rsid w:val="00787E77"/>
    <w:rsid w:val="007936D9"/>
    <w:rsid w:val="007A2391"/>
    <w:rsid w:val="007A2DD9"/>
    <w:rsid w:val="007A4905"/>
    <w:rsid w:val="007A54EE"/>
    <w:rsid w:val="007C738B"/>
    <w:rsid w:val="007E120B"/>
    <w:rsid w:val="007E5C5A"/>
    <w:rsid w:val="00805118"/>
    <w:rsid w:val="00805739"/>
    <w:rsid w:val="00807477"/>
    <w:rsid w:val="00827C84"/>
    <w:rsid w:val="00831297"/>
    <w:rsid w:val="00846350"/>
    <w:rsid w:val="008463C5"/>
    <w:rsid w:val="00847D3B"/>
    <w:rsid w:val="00875672"/>
    <w:rsid w:val="00891AC1"/>
    <w:rsid w:val="008B1BE9"/>
    <w:rsid w:val="008B2F06"/>
    <w:rsid w:val="008D143F"/>
    <w:rsid w:val="008D722C"/>
    <w:rsid w:val="008F6676"/>
    <w:rsid w:val="00903D13"/>
    <w:rsid w:val="0092277F"/>
    <w:rsid w:val="00922A34"/>
    <w:rsid w:val="0095325A"/>
    <w:rsid w:val="009534A7"/>
    <w:rsid w:val="00954238"/>
    <w:rsid w:val="00960980"/>
    <w:rsid w:val="009773F1"/>
    <w:rsid w:val="009953A4"/>
    <w:rsid w:val="00997C2F"/>
    <w:rsid w:val="009A7FD4"/>
    <w:rsid w:val="009B6B0A"/>
    <w:rsid w:val="00A01D11"/>
    <w:rsid w:val="00A17211"/>
    <w:rsid w:val="00A30FB8"/>
    <w:rsid w:val="00A5627F"/>
    <w:rsid w:val="00A67CED"/>
    <w:rsid w:val="00A67E95"/>
    <w:rsid w:val="00A71BF1"/>
    <w:rsid w:val="00A7544D"/>
    <w:rsid w:val="00A82F06"/>
    <w:rsid w:val="00A866C1"/>
    <w:rsid w:val="00A95B12"/>
    <w:rsid w:val="00AA20F4"/>
    <w:rsid w:val="00AA75AA"/>
    <w:rsid w:val="00AB47C7"/>
    <w:rsid w:val="00AB58AA"/>
    <w:rsid w:val="00AB6953"/>
    <w:rsid w:val="00AC5F4F"/>
    <w:rsid w:val="00AE0774"/>
    <w:rsid w:val="00AE5CEE"/>
    <w:rsid w:val="00AE6368"/>
    <w:rsid w:val="00AF576D"/>
    <w:rsid w:val="00B070F9"/>
    <w:rsid w:val="00B16307"/>
    <w:rsid w:val="00B2650F"/>
    <w:rsid w:val="00B26540"/>
    <w:rsid w:val="00B26C64"/>
    <w:rsid w:val="00B41A40"/>
    <w:rsid w:val="00B537C9"/>
    <w:rsid w:val="00B6054F"/>
    <w:rsid w:val="00B74AB9"/>
    <w:rsid w:val="00B81DAF"/>
    <w:rsid w:val="00B91DED"/>
    <w:rsid w:val="00B972FA"/>
    <w:rsid w:val="00BA1030"/>
    <w:rsid w:val="00BA3799"/>
    <w:rsid w:val="00BA4839"/>
    <w:rsid w:val="00BA7D12"/>
    <w:rsid w:val="00BB2A9C"/>
    <w:rsid w:val="00BC141B"/>
    <w:rsid w:val="00BC2CCA"/>
    <w:rsid w:val="00BD6551"/>
    <w:rsid w:val="00BE5137"/>
    <w:rsid w:val="00BE7F69"/>
    <w:rsid w:val="00C01EE9"/>
    <w:rsid w:val="00C15E63"/>
    <w:rsid w:val="00C20FCA"/>
    <w:rsid w:val="00C33DEC"/>
    <w:rsid w:val="00C67192"/>
    <w:rsid w:val="00C67A5A"/>
    <w:rsid w:val="00C764C9"/>
    <w:rsid w:val="00C809B6"/>
    <w:rsid w:val="00C83224"/>
    <w:rsid w:val="00C83F9D"/>
    <w:rsid w:val="00C90661"/>
    <w:rsid w:val="00CA44CA"/>
    <w:rsid w:val="00CB1261"/>
    <w:rsid w:val="00CB28E6"/>
    <w:rsid w:val="00CB366A"/>
    <w:rsid w:val="00CC0325"/>
    <w:rsid w:val="00CC6131"/>
    <w:rsid w:val="00CD6735"/>
    <w:rsid w:val="00CE0B99"/>
    <w:rsid w:val="00CE1714"/>
    <w:rsid w:val="00D0088B"/>
    <w:rsid w:val="00D00E13"/>
    <w:rsid w:val="00D0135D"/>
    <w:rsid w:val="00D0255C"/>
    <w:rsid w:val="00D04B4F"/>
    <w:rsid w:val="00D139CF"/>
    <w:rsid w:val="00D2127E"/>
    <w:rsid w:val="00D25CFB"/>
    <w:rsid w:val="00D331BF"/>
    <w:rsid w:val="00D33E2E"/>
    <w:rsid w:val="00D41C23"/>
    <w:rsid w:val="00D421EA"/>
    <w:rsid w:val="00D75433"/>
    <w:rsid w:val="00D877D5"/>
    <w:rsid w:val="00D977A6"/>
    <w:rsid w:val="00DA161A"/>
    <w:rsid w:val="00DA6E42"/>
    <w:rsid w:val="00DA6F88"/>
    <w:rsid w:val="00DB2477"/>
    <w:rsid w:val="00DB2F7E"/>
    <w:rsid w:val="00DB323D"/>
    <w:rsid w:val="00DC0D3D"/>
    <w:rsid w:val="00E128AC"/>
    <w:rsid w:val="00E46596"/>
    <w:rsid w:val="00E47AB4"/>
    <w:rsid w:val="00E77F84"/>
    <w:rsid w:val="00E81EFD"/>
    <w:rsid w:val="00E9537D"/>
    <w:rsid w:val="00EC0965"/>
    <w:rsid w:val="00EF43AF"/>
    <w:rsid w:val="00EF43DC"/>
    <w:rsid w:val="00EF5B38"/>
    <w:rsid w:val="00F01C48"/>
    <w:rsid w:val="00F01E97"/>
    <w:rsid w:val="00F061DA"/>
    <w:rsid w:val="00F1112B"/>
    <w:rsid w:val="00F155D4"/>
    <w:rsid w:val="00F15919"/>
    <w:rsid w:val="00F33F50"/>
    <w:rsid w:val="00F37E39"/>
    <w:rsid w:val="00F417BC"/>
    <w:rsid w:val="00F437BC"/>
    <w:rsid w:val="00F5202C"/>
    <w:rsid w:val="00F61395"/>
    <w:rsid w:val="00F62845"/>
    <w:rsid w:val="00F64C4F"/>
    <w:rsid w:val="00F6641B"/>
    <w:rsid w:val="00F81FE1"/>
    <w:rsid w:val="00F82F38"/>
    <w:rsid w:val="00F917AF"/>
    <w:rsid w:val="00F929A4"/>
    <w:rsid w:val="00F95FAC"/>
    <w:rsid w:val="00FA6A13"/>
    <w:rsid w:val="00FC6374"/>
    <w:rsid w:val="00FF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A9C39A-1DAB-46F3-B938-873C2AF7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9" w:unhideWhenUsed="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CF4"/>
    <w:rPr>
      <w:sz w:val="22"/>
      <w:szCs w:val="22"/>
    </w:rPr>
  </w:style>
  <w:style w:type="paragraph" w:styleId="Heading1">
    <w:name w:val="heading 1"/>
    <w:basedOn w:val="Normal"/>
    <w:next w:val="Normal"/>
    <w:link w:val="Heading1Char"/>
    <w:uiPriority w:val="2"/>
    <w:rsid w:val="009534A7"/>
    <w:pPr>
      <w:spacing w:before="360" w:after="120"/>
      <w:outlineLvl w:val="0"/>
    </w:pPr>
    <w:rPr>
      <w:rFonts w:ascii="Segoe UI" w:hAnsi="Segoe UI" w:cs="Segoe UI"/>
      <w:b/>
      <w:spacing w:val="6"/>
      <w:sz w:val="36"/>
      <w:szCs w:val="36"/>
    </w:rPr>
  </w:style>
  <w:style w:type="paragraph" w:styleId="Heading2">
    <w:name w:val="heading 2"/>
    <w:basedOn w:val="Heading1"/>
    <w:next w:val="BodyText"/>
    <w:link w:val="Heading2Char"/>
    <w:uiPriority w:val="2"/>
    <w:qFormat/>
    <w:rsid w:val="00E46596"/>
    <w:pPr>
      <w:keepNext/>
      <w:outlineLvl w:val="1"/>
    </w:pPr>
  </w:style>
  <w:style w:type="paragraph" w:styleId="Heading3">
    <w:name w:val="heading 3"/>
    <w:basedOn w:val="Heading2"/>
    <w:next w:val="BodyText"/>
    <w:link w:val="Heading3Char"/>
    <w:uiPriority w:val="2"/>
    <w:unhideWhenUsed/>
    <w:qFormat/>
    <w:rsid w:val="00CB1261"/>
    <w:pPr>
      <w:spacing w:before="320"/>
      <w:outlineLvl w:val="2"/>
    </w:pPr>
    <w:rPr>
      <w:sz w:val="28"/>
      <w:szCs w:val="28"/>
    </w:rPr>
  </w:style>
  <w:style w:type="paragraph" w:styleId="Heading4">
    <w:name w:val="heading 4"/>
    <w:basedOn w:val="Heading3"/>
    <w:next w:val="BodyText"/>
    <w:link w:val="Heading4Char"/>
    <w:uiPriority w:val="2"/>
    <w:qFormat/>
    <w:rsid w:val="00166013"/>
    <w:pPr>
      <w:outlineLvl w:val="3"/>
    </w:pPr>
    <w:rPr>
      <w:sz w:val="24"/>
      <w:szCs w:val="24"/>
    </w:rPr>
  </w:style>
  <w:style w:type="paragraph" w:styleId="Heading5">
    <w:name w:val="heading 5"/>
    <w:basedOn w:val="Heading4"/>
    <w:next w:val="BodyText"/>
    <w:link w:val="Heading5Char"/>
    <w:uiPriority w:val="2"/>
    <w:qFormat/>
    <w:rsid w:val="00166013"/>
    <w:pPr>
      <w:outlineLvl w:val="4"/>
    </w:pPr>
    <w:rPr>
      <w:rFonts w:ascii="Segoe UI Semibold" w:hAnsi="Segoe UI Semibold"/>
      <w:b w:val="0"/>
    </w:rPr>
  </w:style>
  <w:style w:type="paragraph" w:styleId="Heading6">
    <w:name w:val="heading 6"/>
    <w:basedOn w:val="Heading5"/>
    <w:next w:val="BodyText"/>
    <w:link w:val="Heading6Char"/>
    <w:uiPriority w:val="2"/>
    <w:unhideWhenUsed/>
    <w:rsid w:val="00166013"/>
    <w:pPr>
      <w:outlineLvl w:val="5"/>
    </w:pPr>
    <w:rPr>
      <w:sz w:val="22"/>
      <w:szCs w:val="22"/>
    </w:rPr>
  </w:style>
  <w:style w:type="paragraph" w:styleId="Heading7">
    <w:name w:val="heading 7"/>
    <w:basedOn w:val="Heading6"/>
    <w:next w:val="BodyText-Indent"/>
    <w:link w:val="Heading7Char"/>
    <w:uiPriority w:val="2"/>
    <w:unhideWhenUsed/>
    <w:rsid w:val="00166013"/>
    <w:pPr>
      <w:ind w:left="720"/>
      <w:outlineLvl w:val="6"/>
    </w:pPr>
  </w:style>
  <w:style w:type="paragraph" w:styleId="Heading8">
    <w:name w:val="heading 8"/>
    <w:basedOn w:val="Normal"/>
    <w:next w:val="Normal"/>
    <w:link w:val="Heading8Char"/>
    <w:uiPriority w:val="9"/>
    <w:unhideWhenUsed/>
    <w:rsid w:val="008D143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16DE"/>
    <w:rPr>
      <w:rFonts w:ascii="Segoe UI" w:hAnsi="Segoe UI" w:cs="Segoe UI"/>
      <w:b/>
      <w:spacing w:val="6"/>
      <w:sz w:val="36"/>
      <w:szCs w:val="36"/>
    </w:rPr>
  </w:style>
  <w:style w:type="character" w:customStyle="1" w:styleId="Heading2Char">
    <w:name w:val="Heading 2 Char"/>
    <w:basedOn w:val="DefaultParagraphFont"/>
    <w:link w:val="Heading2"/>
    <w:uiPriority w:val="2"/>
    <w:rsid w:val="00E46596"/>
    <w:rPr>
      <w:rFonts w:ascii="Segoe UI" w:hAnsi="Segoe UI" w:cs="Segoe UI"/>
      <w:b/>
      <w:spacing w:val="6"/>
      <w:sz w:val="36"/>
      <w:szCs w:val="36"/>
    </w:rPr>
  </w:style>
  <w:style w:type="character" w:customStyle="1" w:styleId="Heading3Char">
    <w:name w:val="Heading 3 Char"/>
    <w:basedOn w:val="DefaultParagraphFont"/>
    <w:link w:val="Heading3"/>
    <w:uiPriority w:val="2"/>
    <w:rsid w:val="001D468E"/>
    <w:rPr>
      <w:rFonts w:ascii="Segoe UI" w:hAnsi="Segoe UI" w:cs="Segoe UI"/>
      <w:b/>
      <w:spacing w:val="6"/>
      <w:sz w:val="28"/>
      <w:szCs w:val="28"/>
    </w:rPr>
  </w:style>
  <w:style w:type="paragraph" w:styleId="FootnoteText">
    <w:name w:val="footnote text"/>
    <w:basedOn w:val="Normal"/>
    <w:link w:val="FootnoteTextChar"/>
    <w:uiPriority w:val="99"/>
    <w:unhideWhenUsed/>
    <w:rsid w:val="00206357"/>
    <w:pPr>
      <w:spacing w:after="120"/>
      <w:ind w:left="122" w:hanging="122"/>
    </w:pPr>
    <w:rPr>
      <w:sz w:val="20"/>
      <w:szCs w:val="20"/>
    </w:rPr>
  </w:style>
  <w:style w:type="character" w:customStyle="1" w:styleId="FootnoteTextChar">
    <w:name w:val="Footnote Text Char"/>
    <w:basedOn w:val="DefaultParagraphFont"/>
    <w:link w:val="FootnoteText"/>
    <w:uiPriority w:val="99"/>
    <w:rsid w:val="003916DE"/>
    <w:rPr>
      <w:sz w:val="20"/>
      <w:szCs w:val="20"/>
    </w:rPr>
  </w:style>
  <w:style w:type="paragraph" w:styleId="EndnoteText">
    <w:name w:val="endnote text"/>
    <w:basedOn w:val="Normal"/>
    <w:link w:val="EndnoteTextChar"/>
    <w:uiPriority w:val="99"/>
    <w:unhideWhenUsed/>
    <w:rsid w:val="005B7969"/>
    <w:pPr>
      <w:spacing w:after="120"/>
      <w:ind w:left="122" w:hanging="122"/>
    </w:pPr>
    <w:rPr>
      <w:sz w:val="20"/>
      <w:szCs w:val="20"/>
    </w:rPr>
  </w:style>
  <w:style w:type="character" w:customStyle="1" w:styleId="EndnoteTextChar">
    <w:name w:val="Endnote Text Char"/>
    <w:basedOn w:val="DefaultParagraphFont"/>
    <w:link w:val="EndnoteText"/>
    <w:uiPriority w:val="99"/>
    <w:rsid w:val="005B7969"/>
    <w:rPr>
      <w:sz w:val="20"/>
      <w:szCs w:val="20"/>
    </w:rPr>
  </w:style>
  <w:style w:type="paragraph" w:styleId="Header">
    <w:name w:val="header"/>
    <w:basedOn w:val="Normal"/>
    <w:link w:val="HeaderChar"/>
    <w:uiPriority w:val="99"/>
    <w:unhideWhenUsed/>
    <w:rsid w:val="00C33DEC"/>
    <w:pPr>
      <w:pBdr>
        <w:bottom w:val="single" w:sz="4" w:space="3" w:color="006637"/>
      </w:pBdr>
      <w:spacing w:after="480"/>
      <w:jc w:val="right"/>
    </w:pPr>
    <w:rPr>
      <w:rFonts w:ascii="Segoe UI" w:hAnsi="Segoe UI" w:cs="Segoe UI"/>
      <w:sz w:val="20"/>
      <w:szCs w:val="20"/>
    </w:rPr>
  </w:style>
  <w:style w:type="character" w:customStyle="1" w:styleId="HeaderChar">
    <w:name w:val="Header Char"/>
    <w:basedOn w:val="DefaultParagraphFont"/>
    <w:link w:val="Header"/>
    <w:uiPriority w:val="99"/>
    <w:rsid w:val="00C33DEC"/>
    <w:rPr>
      <w:rFonts w:ascii="Segoe UI" w:hAnsi="Segoe UI" w:cs="Segoe UI"/>
      <w:sz w:val="20"/>
      <w:szCs w:val="20"/>
    </w:rPr>
  </w:style>
  <w:style w:type="paragraph" w:styleId="Footer">
    <w:name w:val="footer"/>
    <w:basedOn w:val="Normal"/>
    <w:link w:val="FooterChar"/>
    <w:uiPriority w:val="99"/>
    <w:unhideWhenUsed/>
    <w:rsid w:val="00C33DEC"/>
    <w:pPr>
      <w:tabs>
        <w:tab w:val="right" w:pos="9360"/>
      </w:tabs>
      <w:spacing w:before="480"/>
    </w:pPr>
    <w:rPr>
      <w:rFonts w:ascii="Segoe UI" w:hAnsi="Segoe UI"/>
      <w:sz w:val="20"/>
    </w:rPr>
  </w:style>
  <w:style w:type="character" w:customStyle="1" w:styleId="FooterChar">
    <w:name w:val="Footer Char"/>
    <w:basedOn w:val="DefaultParagraphFont"/>
    <w:link w:val="Footer"/>
    <w:uiPriority w:val="99"/>
    <w:rsid w:val="00C33DEC"/>
    <w:rPr>
      <w:rFonts w:ascii="Segoe UI" w:hAnsi="Segoe UI"/>
      <w:sz w:val="20"/>
      <w:szCs w:val="22"/>
    </w:rPr>
  </w:style>
  <w:style w:type="character" w:customStyle="1" w:styleId="Heading-Inline">
    <w:name w:val="Heading - Inline"/>
    <w:basedOn w:val="DefaultParagraphFont"/>
    <w:uiPriority w:val="3"/>
    <w:qFormat/>
    <w:rsid w:val="001D613D"/>
    <w:rPr>
      <w:b/>
    </w:rPr>
  </w:style>
  <w:style w:type="paragraph" w:styleId="BodyText">
    <w:name w:val="Body Text"/>
    <w:basedOn w:val="Normal"/>
    <w:link w:val="BodyTextChar"/>
    <w:qFormat/>
    <w:rsid w:val="003C1522"/>
    <w:pPr>
      <w:spacing w:after="240"/>
    </w:pPr>
  </w:style>
  <w:style w:type="paragraph" w:customStyle="1" w:styleId="DocTitle">
    <w:name w:val="Doc Title"/>
    <w:basedOn w:val="Heading1"/>
    <w:next w:val="Normal"/>
    <w:uiPriority w:val="14"/>
    <w:unhideWhenUsed/>
    <w:rsid w:val="00C83224"/>
    <w:pPr>
      <w:spacing w:before="0" w:after="60"/>
      <w:ind w:left="3960"/>
      <w:jc w:val="right"/>
    </w:pPr>
    <w:rPr>
      <w:noProof/>
      <w:sz w:val="44"/>
      <w:szCs w:val="44"/>
    </w:rPr>
  </w:style>
  <w:style w:type="paragraph" w:customStyle="1" w:styleId="Heading4-AfterHeading">
    <w:name w:val="Heading 4 - After Heading"/>
    <w:basedOn w:val="Heading4"/>
    <w:next w:val="BodyText"/>
    <w:uiPriority w:val="2"/>
    <w:unhideWhenUsed/>
    <w:rsid w:val="00166013"/>
    <w:pPr>
      <w:spacing w:before="120"/>
    </w:pPr>
  </w:style>
  <w:style w:type="paragraph" w:customStyle="1" w:styleId="ExecSummary-Text">
    <w:name w:val="Exec Summary - Text"/>
    <w:basedOn w:val="Normal"/>
    <w:uiPriority w:val="14"/>
    <w:qFormat/>
    <w:rsid w:val="000B60CD"/>
    <w:pPr>
      <w:spacing w:after="240" w:line="276" w:lineRule="auto"/>
      <w:ind w:left="115" w:right="115"/>
    </w:pPr>
  </w:style>
  <w:style w:type="paragraph" w:customStyle="1" w:styleId="TOCTitle">
    <w:name w:val="TOC Title"/>
    <w:basedOn w:val="Normal"/>
    <w:next w:val="Normal"/>
    <w:uiPriority w:val="14"/>
    <w:unhideWhenUsed/>
    <w:rsid w:val="00CB1261"/>
    <w:pPr>
      <w:keepNext/>
      <w:spacing w:before="360" w:after="120"/>
    </w:pPr>
    <w:rPr>
      <w:rFonts w:ascii="Segoe UI" w:hAnsi="Segoe UI" w:cs="Segoe UI"/>
      <w:b/>
      <w:spacing w:val="6"/>
      <w:sz w:val="36"/>
      <w:szCs w:val="36"/>
    </w:rPr>
  </w:style>
  <w:style w:type="character" w:styleId="FootnoteReference">
    <w:name w:val="footnote reference"/>
    <w:basedOn w:val="DefaultParagraphFont"/>
    <w:semiHidden/>
    <w:rsid w:val="00FA6A13"/>
    <w:rPr>
      <w:dstrike w:val="0"/>
      <w:sz w:val="20"/>
      <w:vertAlign w:val="superscript"/>
    </w:rPr>
  </w:style>
  <w:style w:type="paragraph" w:customStyle="1" w:styleId="TableHeading">
    <w:name w:val="Table Heading"/>
    <w:basedOn w:val="Normal"/>
    <w:uiPriority w:val="7"/>
    <w:qFormat/>
    <w:rsid w:val="00DA6E42"/>
    <w:pPr>
      <w:spacing w:before="40" w:after="40"/>
      <w:jc w:val="center"/>
    </w:pPr>
    <w:rPr>
      <w:rFonts w:ascii="Segoe UI Semibold" w:hAnsi="Segoe UI Semibold"/>
    </w:rPr>
  </w:style>
  <w:style w:type="paragraph" w:customStyle="1" w:styleId="TableText">
    <w:name w:val="Table Text"/>
    <w:basedOn w:val="Normal"/>
    <w:uiPriority w:val="7"/>
    <w:qFormat/>
    <w:rsid w:val="00F37E39"/>
    <w:rPr>
      <w:sz w:val="20"/>
      <w:szCs w:val="20"/>
    </w:rPr>
  </w:style>
  <w:style w:type="paragraph" w:customStyle="1" w:styleId="TableNum">
    <w:name w:val="Table Num"/>
    <w:basedOn w:val="Normal"/>
    <w:uiPriority w:val="7"/>
    <w:qFormat/>
    <w:rsid w:val="00F37E39"/>
    <w:pPr>
      <w:jc w:val="right"/>
    </w:pPr>
    <w:rPr>
      <w:sz w:val="20"/>
    </w:rPr>
  </w:style>
  <w:style w:type="paragraph" w:styleId="ListBullet">
    <w:name w:val="List Bullet"/>
    <w:basedOn w:val="Normal"/>
    <w:uiPriority w:val="3"/>
    <w:qFormat/>
    <w:rsid w:val="002A0444"/>
    <w:pPr>
      <w:numPr>
        <w:numId w:val="14"/>
      </w:numPr>
      <w:spacing w:after="40"/>
      <w:ind w:left="1080"/>
    </w:pPr>
    <w:rPr>
      <w:rFonts w:eastAsia="Times New Roman" w:cs="Times New Roman"/>
    </w:rPr>
  </w:style>
  <w:style w:type="paragraph" w:customStyle="1" w:styleId="ListBullet-Last">
    <w:name w:val="List Bullet - Last"/>
    <w:basedOn w:val="ListBullet"/>
    <w:next w:val="Normal"/>
    <w:uiPriority w:val="3"/>
    <w:qFormat/>
    <w:rsid w:val="00B74AB9"/>
    <w:pPr>
      <w:spacing w:after="240"/>
    </w:pPr>
  </w:style>
  <w:style w:type="paragraph" w:customStyle="1" w:styleId="Callout">
    <w:name w:val="Callout"/>
    <w:basedOn w:val="Normal"/>
    <w:next w:val="Normal"/>
    <w:uiPriority w:val="4"/>
    <w:qFormat/>
    <w:rsid w:val="00B91DED"/>
    <w:pPr>
      <w:pBdr>
        <w:top w:val="single" w:sz="4" w:space="5" w:color="A6A6A6" w:themeColor="background1" w:themeShade="A6"/>
        <w:bottom w:val="single" w:sz="4" w:space="3" w:color="A6A6A6" w:themeColor="background1" w:themeShade="A6"/>
      </w:pBdr>
      <w:shd w:val="clear" w:color="auto" w:fill="FCFCFC"/>
      <w:spacing w:before="200" w:after="280" w:line="276" w:lineRule="auto"/>
    </w:pPr>
    <w:rPr>
      <w:rFonts w:ascii="Segoe UI" w:hAnsi="Segoe UI" w:cs="Segoe UI"/>
    </w:rPr>
  </w:style>
  <w:style w:type="paragraph" w:customStyle="1" w:styleId="DocDate">
    <w:name w:val="Doc Date"/>
    <w:basedOn w:val="Normal"/>
    <w:next w:val="Normal"/>
    <w:uiPriority w:val="14"/>
    <w:unhideWhenUsed/>
    <w:rsid w:val="003F6EF3"/>
    <w:pPr>
      <w:spacing w:after="680"/>
      <w:jc w:val="right"/>
    </w:pPr>
    <w:rPr>
      <w:rFonts w:ascii="Segoe UI Semibold" w:hAnsi="Segoe UI Semibold" w:cs="Segoe UI"/>
      <w:noProof/>
    </w:rPr>
  </w:style>
  <w:style w:type="character" w:customStyle="1" w:styleId="Cite">
    <w:name w:val="Cite"/>
    <w:basedOn w:val="DefaultParagraphFont"/>
    <w:uiPriority w:val="4"/>
    <w:qFormat/>
    <w:rsid w:val="00C67A5A"/>
    <w:rPr>
      <w:rFonts w:ascii="Calibri Light" w:hAnsi="Calibri Light"/>
    </w:rPr>
  </w:style>
  <w:style w:type="paragraph" w:customStyle="1" w:styleId="HRDByline">
    <w:name w:val="HRD Byline"/>
    <w:basedOn w:val="Normal"/>
    <w:next w:val="HRDByline-End"/>
    <w:uiPriority w:val="19"/>
    <w:unhideWhenUsed/>
    <w:rsid w:val="00F15919"/>
    <w:pPr>
      <w:keepNext/>
      <w:keepLines/>
      <w:pBdr>
        <w:top w:val="single" w:sz="4" w:space="9" w:color="A6A6A6" w:themeColor="background1" w:themeShade="A6"/>
        <w:left w:val="single" w:sz="4" w:space="6" w:color="A6A6A6" w:themeColor="background1" w:themeShade="A6"/>
        <w:bottom w:val="single" w:sz="4" w:space="4" w:color="A6A6A6" w:themeColor="background1" w:themeShade="A6"/>
        <w:right w:val="single" w:sz="4" w:space="6" w:color="A6A6A6" w:themeColor="background1" w:themeShade="A6"/>
      </w:pBdr>
      <w:spacing w:before="480" w:after="120"/>
      <w:ind w:left="3067" w:right="187" w:hanging="2880"/>
    </w:pPr>
    <w:rPr>
      <w:rFonts w:cs="Segoe UI"/>
      <w:i/>
      <w:sz w:val="18"/>
      <w:szCs w:val="18"/>
    </w:rPr>
  </w:style>
  <w:style w:type="paragraph" w:customStyle="1" w:styleId="HRDByline-End">
    <w:name w:val="HRD Byline - End"/>
    <w:basedOn w:val="HRDByline"/>
    <w:next w:val="Normal"/>
    <w:uiPriority w:val="19"/>
    <w:unhideWhenUsed/>
    <w:rsid w:val="00432F5B"/>
    <w:pPr>
      <w:keepNext w:val="0"/>
      <w:spacing w:before="120" w:after="240"/>
      <w:jc w:val="center"/>
    </w:pPr>
    <w:rPr>
      <w:i w:val="0"/>
    </w:rPr>
  </w:style>
  <w:style w:type="character" w:customStyle="1" w:styleId="BodyTextChar">
    <w:name w:val="Body Text Char"/>
    <w:basedOn w:val="DefaultParagraphFont"/>
    <w:link w:val="BodyText"/>
    <w:rsid w:val="00250166"/>
    <w:rPr>
      <w:sz w:val="22"/>
      <w:szCs w:val="22"/>
    </w:rPr>
  </w:style>
  <w:style w:type="paragraph" w:customStyle="1" w:styleId="ExecSummary-Heading">
    <w:name w:val="Exec Summary - Heading"/>
    <w:basedOn w:val="Heading2"/>
    <w:next w:val="ExecSummary-Text"/>
    <w:uiPriority w:val="14"/>
    <w:qFormat/>
    <w:rsid w:val="000B60CD"/>
    <w:pPr>
      <w:ind w:left="115"/>
    </w:pPr>
  </w:style>
  <w:style w:type="character" w:customStyle="1" w:styleId="Heading4Char">
    <w:name w:val="Heading 4 Char"/>
    <w:basedOn w:val="DefaultParagraphFont"/>
    <w:link w:val="Heading4"/>
    <w:uiPriority w:val="2"/>
    <w:rsid w:val="001D468E"/>
    <w:rPr>
      <w:rFonts w:ascii="Segoe UI" w:hAnsi="Segoe UI" w:cs="Segoe UI"/>
      <w:b/>
      <w:spacing w:val="6"/>
    </w:rPr>
  </w:style>
  <w:style w:type="character" w:customStyle="1" w:styleId="Heading5Char">
    <w:name w:val="Heading 5 Char"/>
    <w:basedOn w:val="DefaultParagraphFont"/>
    <w:link w:val="Heading5"/>
    <w:uiPriority w:val="2"/>
    <w:rsid w:val="001D468E"/>
    <w:rPr>
      <w:rFonts w:ascii="Segoe UI Semibold" w:hAnsi="Segoe UI Semibold" w:cs="Segoe UI"/>
      <w:spacing w:val="6"/>
    </w:rPr>
  </w:style>
  <w:style w:type="character" w:customStyle="1" w:styleId="Heading6Char">
    <w:name w:val="Heading 6 Char"/>
    <w:basedOn w:val="DefaultParagraphFont"/>
    <w:link w:val="Heading6"/>
    <w:uiPriority w:val="2"/>
    <w:rsid w:val="001D468E"/>
    <w:rPr>
      <w:rFonts w:ascii="Segoe UI Semibold" w:hAnsi="Segoe UI Semibold" w:cs="Segoe UI"/>
      <w:spacing w:val="6"/>
      <w:sz w:val="22"/>
      <w:szCs w:val="22"/>
    </w:rPr>
  </w:style>
  <w:style w:type="table" w:customStyle="1" w:styleId="StandardHRDTable">
    <w:name w:val="Standard HRD Table"/>
    <w:basedOn w:val="TableNormal"/>
    <w:uiPriority w:val="99"/>
    <w:rsid w:val="002F3FB0"/>
    <w:rPr>
      <w:sz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8" w:type="dxa"/>
        <w:left w:w="86" w:type="dxa"/>
        <w:bottom w:w="58" w:type="dxa"/>
        <w:right w:w="86" w:type="dxa"/>
      </w:tblCellMar>
    </w:tblPr>
    <w:tblStylePr w:type="firstRow">
      <w:pPr>
        <w:widowControl/>
        <w:wordWrap/>
        <w:spacing w:beforeLines="0" w:before="40" w:beforeAutospacing="0" w:afterLines="0" w:after="40" w:afterAutospacing="0"/>
        <w:jc w:val="center"/>
      </w:pPr>
      <w:rPr>
        <w:rFonts w:ascii="Segoe UI Semibold" w:hAnsi="Segoe UI Semibold"/>
        <w:sz w:val="22"/>
      </w:rPr>
      <w:tblPr/>
      <w:trPr>
        <w:tblHeader/>
      </w:trPr>
      <w:tcPr>
        <w:tcBorders>
          <w:top w:val="single" w:sz="12" w:space="0" w:color="006637"/>
          <w:left w:val="single" w:sz="4" w:space="0" w:color="BFBFBF" w:themeColor="background1" w:themeShade="BF"/>
          <w:bottom w:val="single" w:sz="12" w:space="0" w:color="006637"/>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vAlign w:val="center"/>
      </w:tcPr>
    </w:tblStylePr>
  </w:style>
  <w:style w:type="paragraph" w:customStyle="1" w:styleId="BodyText-BeforeTable">
    <w:name w:val="Body Text - Before Table"/>
    <w:basedOn w:val="BodyText"/>
    <w:next w:val="BodyText"/>
    <w:unhideWhenUsed/>
    <w:rsid w:val="003F0102"/>
    <w:pPr>
      <w:spacing w:after="320"/>
    </w:pPr>
  </w:style>
  <w:style w:type="paragraph" w:customStyle="1" w:styleId="BodyText-AfterTable">
    <w:name w:val="Body Text - After Table"/>
    <w:basedOn w:val="BodyText"/>
    <w:next w:val="BodyText"/>
    <w:unhideWhenUsed/>
    <w:rsid w:val="003F0102"/>
    <w:pPr>
      <w:spacing w:before="320"/>
    </w:pPr>
  </w:style>
  <w:style w:type="paragraph" w:customStyle="1" w:styleId="TableNote">
    <w:name w:val="Table Note"/>
    <w:basedOn w:val="Normal"/>
    <w:uiPriority w:val="7"/>
    <w:qFormat/>
    <w:rsid w:val="00F37E39"/>
    <w:rPr>
      <w:sz w:val="18"/>
      <w:szCs w:val="18"/>
    </w:rPr>
  </w:style>
  <w:style w:type="paragraph" w:customStyle="1" w:styleId="TableTitle">
    <w:name w:val="Table Title"/>
    <w:basedOn w:val="Heading4"/>
    <w:next w:val="BodyText-AfterTable"/>
    <w:uiPriority w:val="7"/>
    <w:qFormat/>
    <w:rsid w:val="00F37E39"/>
    <w:pPr>
      <w:jc w:val="center"/>
    </w:pPr>
  </w:style>
  <w:style w:type="paragraph" w:styleId="ListNumber">
    <w:name w:val="List Number"/>
    <w:basedOn w:val="Normal"/>
    <w:uiPriority w:val="3"/>
    <w:qFormat/>
    <w:rsid w:val="000D5033"/>
    <w:pPr>
      <w:numPr>
        <w:numId w:val="16"/>
      </w:numPr>
      <w:tabs>
        <w:tab w:val="clear" w:pos="720"/>
      </w:tabs>
      <w:spacing w:after="40"/>
      <w:ind w:left="1080"/>
    </w:pPr>
  </w:style>
  <w:style w:type="paragraph" w:customStyle="1" w:styleId="ListNumber-Last">
    <w:name w:val="List Number - Last"/>
    <w:basedOn w:val="ListNumber"/>
    <w:next w:val="Normal"/>
    <w:uiPriority w:val="3"/>
    <w:qFormat/>
    <w:rsid w:val="000D5033"/>
    <w:pPr>
      <w:spacing w:after="240"/>
    </w:pPr>
  </w:style>
  <w:style w:type="paragraph" w:styleId="TOC2">
    <w:name w:val="toc 2"/>
    <w:basedOn w:val="Normal"/>
    <w:next w:val="Normal"/>
    <w:autoRedefine/>
    <w:uiPriority w:val="39"/>
    <w:unhideWhenUsed/>
    <w:rsid w:val="00206357"/>
    <w:pPr>
      <w:tabs>
        <w:tab w:val="right" w:leader="dot" w:pos="8640"/>
      </w:tabs>
      <w:spacing w:after="60"/>
      <w:ind w:left="1260" w:hanging="180"/>
    </w:pPr>
    <w:rPr>
      <w:noProof/>
    </w:rPr>
  </w:style>
  <w:style w:type="character" w:styleId="Hyperlink">
    <w:name w:val="Hyperlink"/>
    <w:basedOn w:val="DefaultParagraphFont"/>
    <w:uiPriority w:val="99"/>
    <w:unhideWhenUsed/>
    <w:rsid w:val="00F82F38"/>
    <w:rPr>
      <w:color w:val="0000FF" w:themeColor="hyperlink"/>
      <w:u w:val="single"/>
    </w:rPr>
  </w:style>
  <w:style w:type="paragraph" w:styleId="TOC6">
    <w:name w:val="toc 6"/>
    <w:basedOn w:val="Normal"/>
    <w:next w:val="Normal"/>
    <w:autoRedefine/>
    <w:uiPriority w:val="39"/>
    <w:semiHidden/>
    <w:unhideWhenUsed/>
    <w:rsid w:val="00393D4E"/>
    <w:pPr>
      <w:spacing w:after="100"/>
      <w:ind w:left="1100"/>
    </w:pPr>
  </w:style>
  <w:style w:type="paragraph" w:customStyle="1" w:styleId="Heading3-AfterHeading">
    <w:name w:val="Heading 3 - After Heading"/>
    <w:basedOn w:val="Heading3"/>
    <w:next w:val="BodyText"/>
    <w:uiPriority w:val="2"/>
    <w:unhideWhenUsed/>
    <w:rsid w:val="00393D4E"/>
    <w:pPr>
      <w:spacing w:before="120"/>
    </w:pPr>
  </w:style>
  <w:style w:type="paragraph" w:styleId="TOC1">
    <w:name w:val="toc 1"/>
    <w:basedOn w:val="Normal"/>
    <w:next w:val="Normal"/>
    <w:autoRedefine/>
    <w:uiPriority w:val="39"/>
    <w:unhideWhenUsed/>
    <w:rsid w:val="00206357"/>
    <w:pPr>
      <w:tabs>
        <w:tab w:val="right" w:leader="dot" w:pos="8640"/>
      </w:tabs>
      <w:spacing w:after="60"/>
      <w:ind w:left="900" w:hanging="180"/>
    </w:pPr>
    <w:rPr>
      <w:noProof/>
    </w:rPr>
  </w:style>
  <w:style w:type="character" w:styleId="EndnoteReference">
    <w:name w:val="endnote reference"/>
    <w:basedOn w:val="DefaultParagraphFont"/>
    <w:uiPriority w:val="99"/>
    <w:semiHidden/>
    <w:unhideWhenUsed/>
    <w:rsid w:val="00CE0B99"/>
    <w:rPr>
      <w:vertAlign w:val="superscript"/>
    </w:rPr>
  </w:style>
  <w:style w:type="paragraph" w:customStyle="1" w:styleId="DocReview">
    <w:name w:val="Doc Review"/>
    <w:basedOn w:val="BodyText"/>
    <w:next w:val="BodyText"/>
    <w:uiPriority w:val="14"/>
    <w:rsid w:val="00360106"/>
    <w:rPr>
      <w:rFonts w:ascii="Segoe UI Semibold" w:hAnsi="Segoe UI Semibold"/>
      <w:i/>
    </w:rPr>
  </w:style>
  <w:style w:type="paragraph" w:customStyle="1" w:styleId="DocSubtitle">
    <w:name w:val="Doc Subtitle"/>
    <w:basedOn w:val="Normal"/>
    <w:next w:val="Normal"/>
    <w:uiPriority w:val="14"/>
    <w:qFormat/>
    <w:rsid w:val="00C83224"/>
    <w:pPr>
      <w:spacing w:after="120"/>
      <w:ind w:left="3960"/>
      <w:jc w:val="right"/>
    </w:pPr>
    <w:rPr>
      <w:rFonts w:ascii="Segoe UI Semibold" w:hAnsi="Segoe UI Semibold"/>
      <w:sz w:val="28"/>
      <w:szCs w:val="28"/>
    </w:rPr>
  </w:style>
  <w:style w:type="paragraph" w:customStyle="1" w:styleId="Footer-Multiline">
    <w:name w:val="Footer - Multiline"/>
    <w:basedOn w:val="Footer"/>
    <w:uiPriority w:val="99"/>
    <w:unhideWhenUsed/>
    <w:rsid w:val="002F3FB0"/>
    <w:pPr>
      <w:spacing w:before="0"/>
    </w:pPr>
  </w:style>
  <w:style w:type="paragraph" w:customStyle="1" w:styleId="TableHeading-Section">
    <w:name w:val="Table Heading - Section"/>
    <w:basedOn w:val="Normal"/>
    <w:next w:val="TableText"/>
    <w:uiPriority w:val="7"/>
    <w:qFormat/>
    <w:rsid w:val="00422216"/>
    <w:pPr>
      <w:keepNext/>
      <w:spacing w:before="80" w:after="80"/>
      <w:jc w:val="center"/>
    </w:pPr>
    <w:rPr>
      <w:rFonts w:ascii="Segoe UI Semibold" w:hAnsi="Segoe UI Semibold" w:cs="Segoe UI"/>
      <w:sz w:val="20"/>
      <w:szCs w:val="20"/>
    </w:rPr>
  </w:style>
  <w:style w:type="paragraph" w:customStyle="1" w:styleId="TableText-Paragraph">
    <w:name w:val="Table Text - Paragraph"/>
    <w:basedOn w:val="TableText"/>
    <w:uiPriority w:val="7"/>
    <w:qFormat/>
    <w:rsid w:val="007723A0"/>
    <w:pPr>
      <w:spacing w:after="120"/>
    </w:pPr>
  </w:style>
  <w:style w:type="character" w:styleId="Emphasis">
    <w:name w:val="Emphasis"/>
    <w:basedOn w:val="DefaultParagraphFont"/>
    <w:uiPriority w:val="4"/>
    <w:rsid w:val="00A82F06"/>
    <w:rPr>
      <w:i/>
      <w:iCs/>
    </w:rPr>
  </w:style>
  <w:style w:type="character" w:customStyle="1" w:styleId="Heading7Char">
    <w:name w:val="Heading 7 Char"/>
    <w:basedOn w:val="DefaultParagraphFont"/>
    <w:link w:val="Heading7"/>
    <w:uiPriority w:val="2"/>
    <w:rsid w:val="001D468E"/>
    <w:rPr>
      <w:rFonts w:ascii="Segoe UI Semibold" w:hAnsi="Segoe UI Semibold" w:cs="Segoe UI"/>
      <w:spacing w:val="6"/>
      <w:sz w:val="22"/>
      <w:szCs w:val="22"/>
    </w:rPr>
  </w:style>
  <w:style w:type="paragraph" w:customStyle="1" w:styleId="Heading5-AfterHeading">
    <w:name w:val="Heading 5 - After Heading"/>
    <w:basedOn w:val="Heading5"/>
    <w:next w:val="BodyText"/>
    <w:uiPriority w:val="2"/>
    <w:unhideWhenUsed/>
    <w:rsid w:val="00166013"/>
    <w:pPr>
      <w:spacing w:before="120"/>
    </w:pPr>
  </w:style>
  <w:style w:type="paragraph" w:customStyle="1" w:styleId="BodyText-Indent">
    <w:name w:val="Body Text - Indent"/>
    <w:basedOn w:val="BodyText"/>
    <w:unhideWhenUsed/>
    <w:rsid w:val="00166013"/>
    <w:pPr>
      <w:ind w:left="720"/>
    </w:pPr>
  </w:style>
  <w:style w:type="character" w:customStyle="1" w:styleId="Heading8Char">
    <w:name w:val="Heading 8 Char"/>
    <w:basedOn w:val="DefaultParagraphFont"/>
    <w:link w:val="Heading8"/>
    <w:uiPriority w:val="9"/>
    <w:rsid w:val="008D143F"/>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2423DF"/>
    <w:rPr>
      <w:color w:val="808080"/>
    </w:rPr>
  </w:style>
  <w:style w:type="paragraph" w:styleId="TOC3">
    <w:name w:val="toc 3"/>
    <w:basedOn w:val="Normal"/>
    <w:next w:val="Normal"/>
    <w:autoRedefine/>
    <w:uiPriority w:val="39"/>
    <w:unhideWhenUsed/>
    <w:rsid w:val="00D139CF"/>
    <w:pPr>
      <w:spacing w:after="100"/>
      <w:ind w:left="440"/>
    </w:pPr>
  </w:style>
  <w:style w:type="paragraph" w:customStyle="1" w:styleId="ChartNote">
    <w:name w:val="Chart Note"/>
    <w:basedOn w:val="Normal"/>
    <w:next w:val="BodyText"/>
    <w:uiPriority w:val="4"/>
    <w:qFormat/>
    <w:rsid w:val="005306F2"/>
    <w:pPr>
      <w:spacing w:before="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33507">
      <w:bodyDiv w:val="1"/>
      <w:marLeft w:val="0"/>
      <w:marRight w:val="0"/>
      <w:marTop w:val="0"/>
      <w:marBottom w:val="0"/>
      <w:divBdr>
        <w:top w:val="none" w:sz="0" w:space="0" w:color="auto"/>
        <w:left w:val="none" w:sz="0" w:space="0" w:color="auto"/>
        <w:bottom w:val="none" w:sz="0" w:space="0" w:color="auto"/>
        <w:right w:val="none" w:sz="0" w:space="0" w:color="auto"/>
      </w:divBdr>
    </w:div>
    <w:div w:id="1241284263">
      <w:bodyDiv w:val="1"/>
      <w:marLeft w:val="0"/>
      <w:marRight w:val="0"/>
      <w:marTop w:val="0"/>
      <w:marBottom w:val="0"/>
      <w:divBdr>
        <w:top w:val="none" w:sz="0" w:space="0" w:color="auto"/>
        <w:left w:val="none" w:sz="0" w:space="0" w:color="auto"/>
        <w:bottom w:val="none" w:sz="0" w:space="0" w:color="auto"/>
        <w:right w:val="none" w:sz="0" w:space="0" w:color="auto"/>
      </w:divBdr>
    </w:div>
    <w:div w:id="1860502860">
      <w:bodyDiv w:val="1"/>
      <w:marLeft w:val="0"/>
      <w:marRight w:val="0"/>
      <w:marTop w:val="0"/>
      <w:marBottom w:val="0"/>
      <w:divBdr>
        <w:top w:val="none" w:sz="0" w:space="0" w:color="auto"/>
        <w:left w:val="none" w:sz="0" w:space="0" w:color="auto"/>
        <w:bottom w:val="none" w:sz="0" w:space="0" w:color="auto"/>
        <w:right w:val="none" w:sz="0" w:space="0" w:color="auto"/>
      </w:divBdr>
    </w:div>
    <w:div w:id="2021079416">
      <w:bodyDiv w:val="1"/>
      <w:marLeft w:val="0"/>
      <w:marRight w:val="0"/>
      <w:marTop w:val="0"/>
      <w:marBottom w:val="0"/>
      <w:divBdr>
        <w:top w:val="none" w:sz="0" w:space="0" w:color="auto"/>
        <w:left w:val="none" w:sz="0" w:space="0" w:color="auto"/>
        <w:bottom w:val="none" w:sz="0" w:space="0" w:color="auto"/>
        <w:right w:val="none" w:sz="0" w:space="0" w:color="auto"/>
      </w:divBdr>
      <w:divsChild>
        <w:div w:id="589237729">
          <w:marLeft w:val="0"/>
          <w:marRight w:val="0"/>
          <w:marTop w:val="0"/>
          <w:marBottom w:val="0"/>
          <w:divBdr>
            <w:top w:val="none" w:sz="0" w:space="0" w:color="auto"/>
            <w:left w:val="none" w:sz="0" w:space="0" w:color="auto"/>
            <w:bottom w:val="none" w:sz="0" w:space="0" w:color="auto"/>
            <w:right w:val="none" w:sz="0" w:space="0" w:color="auto"/>
          </w:divBdr>
          <w:divsChild>
            <w:div w:id="1744794769">
              <w:marLeft w:val="0"/>
              <w:marRight w:val="0"/>
              <w:marTop w:val="0"/>
              <w:marBottom w:val="0"/>
              <w:divBdr>
                <w:top w:val="none" w:sz="0" w:space="0" w:color="auto"/>
                <w:left w:val="none" w:sz="0" w:space="0" w:color="auto"/>
                <w:bottom w:val="none" w:sz="0" w:space="0" w:color="auto"/>
                <w:right w:val="none" w:sz="0" w:space="0" w:color="auto"/>
              </w:divBdr>
            </w:div>
            <w:div w:id="2035305511">
              <w:marLeft w:val="0"/>
              <w:marRight w:val="0"/>
              <w:marTop w:val="0"/>
              <w:marBottom w:val="0"/>
              <w:divBdr>
                <w:top w:val="none" w:sz="0" w:space="0" w:color="auto"/>
                <w:left w:val="none" w:sz="0" w:space="0" w:color="auto"/>
                <w:bottom w:val="none" w:sz="0" w:space="0" w:color="auto"/>
                <w:right w:val="none" w:sz="0" w:space="0" w:color="auto"/>
              </w:divBdr>
            </w:div>
            <w:div w:id="4048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rie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9F9F9"/>
        </a:solidFill>
        <a:ln w="6350" cap="rnd">
          <a:solidFill>
            <a:schemeClr val="bg1">
              <a:lumMod val="65000"/>
            </a:schemeClr>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BD97D5B-F3EB-4306-A997-48746C51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Swanson</dc:creator>
  <cp:keywords/>
  <dc:description/>
  <cp:lastModifiedBy>DFLUser</cp:lastModifiedBy>
  <cp:revision>2</cp:revision>
  <cp:lastPrinted>2019-02-08T16:26:00Z</cp:lastPrinted>
  <dcterms:created xsi:type="dcterms:W3CDTF">2019-02-12T13:31:00Z</dcterms:created>
  <dcterms:modified xsi:type="dcterms:W3CDTF">2019-02-12T13:31:00Z</dcterms:modified>
</cp:coreProperties>
</file>