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37" w:rsidRPr="0065196F" w:rsidRDefault="004D5937" w:rsidP="004D5937">
      <w:pPr>
        <w:pStyle w:val="Header"/>
        <w:tabs>
          <w:tab w:val="clear" w:pos="4320"/>
          <w:tab w:val="clear" w:pos="8640"/>
          <w:tab w:val="left" w:pos="1440"/>
        </w:tabs>
        <w:spacing w:before="360" w:after="360"/>
        <w:rPr>
          <w:szCs w:val="24"/>
        </w:rPr>
      </w:pPr>
      <w:r w:rsidRPr="0065196F">
        <w:rPr>
          <w:b/>
          <w:szCs w:val="24"/>
        </w:rPr>
        <w:t>DATE:</w:t>
      </w:r>
      <w:r w:rsidRPr="0065196F">
        <w:rPr>
          <w:b/>
          <w:szCs w:val="24"/>
        </w:rPr>
        <w:tab/>
      </w:r>
      <w:r w:rsidR="002E7E56" w:rsidRPr="0065196F">
        <w:rPr>
          <w:szCs w:val="24"/>
        </w:rPr>
        <w:t>March 1</w:t>
      </w:r>
      <w:r w:rsidR="00CE3B2C">
        <w:rPr>
          <w:szCs w:val="24"/>
        </w:rPr>
        <w:t>2</w:t>
      </w:r>
      <w:r w:rsidRPr="0065196F">
        <w:rPr>
          <w:szCs w:val="24"/>
        </w:rPr>
        <w:t>, 2015</w:t>
      </w:r>
    </w:p>
    <w:p w:rsidR="004D5937" w:rsidRPr="0065196F" w:rsidRDefault="004D5937" w:rsidP="004D5937">
      <w:pPr>
        <w:pStyle w:val="Header"/>
        <w:tabs>
          <w:tab w:val="clear" w:pos="4320"/>
          <w:tab w:val="clear" w:pos="8640"/>
          <w:tab w:val="left" w:pos="1440"/>
        </w:tabs>
        <w:ind w:left="1440" w:hanging="1440"/>
        <w:rPr>
          <w:szCs w:val="24"/>
        </w:rPr>
      </w:pPr>
      <w:r w:rsidRPr="0065196F">
        <w:rPr>
          <w:b/>
          <w:szCs w:val="24"/>
        </w:rPr>
        <w:t>TO:</w:t>
      </w:r>
      <w:r w:rsidRPr="0065196F">
        <w:rPr>
          <w:b/>
          <w:szCs w:val="24"/>
        </w:rPr>
        <w:tab/>
      </w:r>
      <w:r w:rsidRPr="0065196F">
        <w:rPr>
          <w:szCs w:val="24"/>
        </w:rPr>
        <w:t>Representative Dean</w:t>
      </w:r>
    </w:p>
    <w:p w:rsidR="004D5937" w:rsidRPr="0065196F" w:rsidRDefault="004D5937" w:rsidP="004D5937">
      <w:pPr>
        <w:pStyle w:val="Header"/>
        <w:tabs>
          <w:tab w:val="clear" w:pos="4320"/>
          <w:tab w:val="clear" w:pos="8640"/>
          <w:tab w:val="left" w:pos="1440"/>
        </w:tabs>
        <w:ind w:left="1440"/>
        <w:rPr>
          <w:szCs w:val="24"/>
        </w:rPr>
      </w:pPr>
      <w:r w:rsidRPr="0065196F">
        <w:rPr>
          <w:szCs w:val="24"/>
        </w:rPr>
        <w:t>Health and Human Services Finance Committee</w:t>
      </w:r>
    </w:p>
    <w:p w:rsidR="004D5937" w:rsidRPr="0065196F" w:rsidRDefault="004D5937" w:rsidP="004D5937">
      <w:pPr>
        <w:pStyle w:val="Header"/>
        <w:tabs>
          <w:tab w:val="clear" w:pos="4320"/>
          <w:tab w:val="clear" w:pos="8640"/>
          <w:tab w:val="left" w:pos="1440"/>
        </w:tabs>
        <w:ind w:left="1440"/>
        <w:rPr>
          <w:szCs w:val="24"/>
        </w:rPr>
      </w:pPr>
    </w:p>
    <w:p w:rsidR="004D5937" w:rsidRPr="0065196F" w:rsidRDefault="004D5937" w:rsidP="004D5937">
      <w:pPr>
        <w:pStyle w:val="Header"/>
        <w:tabs>
          <w:tab w:val="clear" w:pos="4320"/>
          <w:tab w:val="clear" w:pos="8640"/>
          <w:tab w:val="left" w:pos="1440"/>
        </w:tabs>
        <w:ind w:left="1440" w:hanging="1440"/>
        <w:rPr>
          <w:szCs w:val="24"/>
        </w:rPr>
      </w:pPr>
      <w:r w:rsidRPr="0065196F">
        <w:rPr>
          <w:b/>
          <w:szCs w:val="24"/>
        </w:rPr>
        <w:t>FROM:</w:t>
      </w:r>
      <w:r w:rsidRPr="0065196F">
        <w:rPr>
          <w:b/>
          <w:szCs w:val="24"/>
        </w:rPr>
        <w:tab/>
      </w:r>
      <w:r w:rsidR="00B70C1A" w:rsidRPr="0065196F">
        <w:rPr>
          <w:szCs w:val="24"/>
        </w:rPr>
        <w:t>Emily Johnson Piper</w:t>
      </w:r>
      <w:r w:rsidRPr="0065196F">
        <w:rPr>
          <w:szCs w:val="24"/>
        </w:rPr>
        <w:br/>
        <w:t xml:space="preserve">Commissioner, </w:t>
      </w:r>
      <w:r w:rsidR="00B70C1A" w:rsidRPr="0065196F">
        <w:rPr>
          <w:szCs w:val="24"/>
        </w:rPr>
        <w:t>Department of Human Services</w:t>
      </w:r>
    </w:p>
    <w:p w:rsidR="004D5937" w:rsidRPr="0065196F" w:rsidRDefault="004D5937" w:rsidP="004D5937">
      <w:pPr>
        <w:pStyle w:val="Header"/>
        <w:tabs>
          <w:tab w:val="clear" w:pos="4320"/>
          <w:tab w:val="clear" w:pos="8640"/>
          <w:tab w:val="left" w:pos="1440"/>
        </w:tabs>
        <w:ind w:left="1440" w:hanging="1440"/>
        <w:rPr>
          <w:szCs w:val="24"/>
        </w:rPr>
      </w:pPr>
    </w:p>
    <w:p w:rsidR="004D5937" w:rsidRPr="0065196F" w:rsidRDefault="004D5937" w:rsidP="004D5937">
      <w:pPr>
        <w:pStyle w:val="Header"/>
        <w:tabs>
          <w:tab w:val="clear" w:pos="4320"/>
          <w:tab w:val="clear" w:pos="8640"/>
          <w:tab w:val="left" w:pos="1440"/>
        </w:tabs>
        <w:rPr>
          <w:szCs w:val="24"/>
        </w:rPr>
      </w:pPr>
      <w:r w:rsidRPr="0065196F">
        <w:rPr>
          <w:b/>
          <w:szCs w:val="24"/>
        </w:rPr>
        <w:t>SUBJECT:</w:t>
      </w:r>
      <w:r w:rsidRPr="0065196F">
        <w:rPr>
          <w:b/>
          <w:szCs w:val="24"/>
        </w:rPr>
        <w:tab/>
      </w:r>
      <w:r w:rsidRPr="0065196F">
        <w:rPr>
          <w:szCs w:val="24"/>
        </w:rPr>
        <w:t>Follow up response to the February 3</w:t>
      </w:r>
      <w:r w:rsidRPr="0065196F">
        <w:rPr>
          <w:szCs w:val="24"/>
          <w:vertAlign w:val="superscript"/>
        </w:rPr>
        <w:t>rd</w:t>
      </w:r>
      <w:r w:rsidRPr="0065196F">
        <w:rPr>
          <w:szCs w:val="24"/>
        </w:rPr>
        <w:t xml:space="preserve"> committee hearing</w:t>
      </w:r>
    </w:p>
    <w:p w:rsidR="004D5937" w:rsidRPr="0065196F" w:rsidRDefault="004D5937" w:rsidP="004D5937">
      <w:pPr>
        <w:pStyle w:val="Header"/>
        <w:tabs>
          <w:tab w:val="clear" w:pos="4320"/>
          <w:tab w:val="clear" w:pos="8640"/>
          <w:tab w:val="left" w:pos="1440"/>
        </w:tabs>
        <w:rPr>
          <w:szCs w:val="24"/>
        </w:rPr>
      </w:pPr>
    </w:p>
    <w:p w:rsidR="004D5937" w:rsidRPr="0065196F" w:rsidRDefault="004D5937" w:rsidP="004D5937">
      <w:pPr>
        <w:pStyle w:val="Header"/>
        <w:tabs>
          <w:tab w:val="clear" w:pos="4320"/>
          <w:tab w:val="clear" w:pos="8640"/>
          <w:tab w:val="left" w:pos="1440"/>
        </w:tabs>
        <w:ind w:left="1440"/>
        <w:rPr>
          <w:szCs w:val="24"/>
        </w:rPr>
      </w:pPr>
      <w:r w:rsidRPr="0065196F">
        <w:rPr>
          <w:szCs w:val="24"/>
        </w:rPr>
        <w:t>At a committee hearing on February 3</w:t>
      </w:r>
      <w:r w:rsidRPr="0065196F">
        <w:rPr>
          <w:szCs w:val="24"/>
          <w:vertAlign w:val="superscript"/>
        </w:rPr>
        <w:t>rd</w:t>
      </w:r>
      <w:r w:rsidRPr="0065196F">
        <w:rPr>
          <w:szCs w:val="24"/>
        </w:rPr>
        <w:t>, 2016, several committee members asked the Department of Human Services to follow up on the questions below.  Please feel free to contact us if you have additional questions.</w:t>
      </w:r>
    </w:p>
    <w:p w:rsidR="004D5937" w:rsidRPr="0065196F" w:rsidRDefault="004D5937" w:rsidP="004D5937">
      <w:pPr>
        <w:pStyle w:val="Header"/>
        <w:tabs>
          <w:tab w:val="clear" w:pos="4320"/>
          <w:tab w:val="clear" w:pos="8640"/>
          <w:tab w:val="left" w:pos="1440"/>
        </w:tabs>
        <w:ind w:left="1440"/>
        <w:rPr>
          <w:szCs w:val="24"/>
        </w:rPr>
      </w:pPr>
    </w:p>
    <w:p w:rsidR="004D5937" w:rsidRPr="0065196F" w:rsidRDefault="008763C1" w:rsidP="004D5937">
      <w:pPr>
        <w:pStyle w:val="Header"/>
        <w:tabs>
          <w:tab w:val="clear" w:pos="4320"/>
          <w:tab w:val="clear" w:pos="8640"/>
          <w:tab w:val="left" w:pos="1440"/>
        </w:tabs>
        <w:ind w:left="1440"/>
        <w:rPr>
          <w:b/>
          <w:szCs w:val="24"/>
        </w:rPr>
      </w:pPr>
      <w:r w:rsidRPr="0065196F">
        <w:rPr>
          <w:b/>
          <w:szCs w:val="24"/>
        </w:rPr>
        <w:t>What were the call volumes and average wait time for January and December?</w:t>
      </w:r>
    </w:p>
    <w:p w:rsidR="004D5937" w:rsidRPr="0065196F" w:rsidRDefault="004D5937" w:rsidP="004D5937">
      <w:pPr>
        <w:pStyle w:val="Header"/>
        <w:tabs>
          <w:tab w:val="clear" w:pos="4320"/>
          <w:tab w:val="clear" w:pos="8640"/>
          <w:tab w:val="left" w:pos="1440"/>
        </w:tabs>
        <w:ind w:left="1440"/>
        <w:rPr>
          <w:szCs w:val="24"/>
        </w:rPr>
      </w:pPr>
    </w:p>
    <w:p w:rsidR="00B06F6A" w:rsidRPr="0065196F" w:rsidRDefault="00B06F6A" w:rsidP="00B06F6A">
      <w:pPr>
        <w:pStyle w:val="Heading2"/>
        <w:ind w:left="1440"/>
        <w:rPr>
          <w:rFonts w:ascii="Times New Roman" w:hAnsi="Times New Roman" w:cs="Times New Roman"/>
          <w:color w:val="auto"/>
          <w:sz w:val="24"/>
          <w:szCs w:val="24"/>
          <w:u w:val="single"/>
        </w:rPr>
      </w:pPr>
      <w:r w:rsidRPr="0065196F">
        <w:rPr>
          <w:rFonts w:ascii="Times New Roman" w:hAnsi="Times New Roman" w:cs="Times New Roman"/>
          <w:color w:val="auto"/>
          <w:sz w:val="24"/>
          <w:szCs w:val="24"/>
          <w:u w:val="single"/>
        </w:rPr>
        <w:t>December, 2015:</w:t>
      </w:r>
    </w:p>
    <w:p w:rsidR="00B06F6A" w:rsidRPr="0065196F" w:rsidRDefault="00B06F6A" w:rsidP="00B06F6A">
      <w:pPr>
        <w:ind w:left="1440"/>
        <w:rPr>
          <w:sz w:val="24"/>
          <w:szCs w:val="24"/>
        </w:rPr>
      </w:pPr>
      <w:r w:rsidRPr="0065196F">
        <w:rPr>
          <w:sz w:val="24"/>
          <w:szCs w:val="24"/>
        </w:rPr>
        <w:t> </w:t>
      </w:r>
    </w:p>
    <w:p w:rsidR="00B06F6A" w:rsidRPr="0065196F" w:rsidRDefault="00B06F6A" w:rsidP="00B06F6A">
      <w:pPr>
        <w:ind w:left="1440"/>
        <w:rPr>
          <w:sz w:val="24"/>
          <w:szCs w:val="24"/>
        </w:rPr>
      </w:pPr>
      <w:r w:rsidRPr="0065196F">
        <w:rPr>
          <w:bCs/>
          <w:sz w:val="24"/>
          <w:szCs w:val="24"/>
        </w:rPr>
        <w:t xml:space="preserve">Member Help Desk: </w:t>
      </w:r>
    </w:p>
    <w:p w:rsidR="00B06F6A" w:rsidRPr="0065196F" w:rsidRDefault="00B06F6A" w:rsidP="00B06F6A">
      <w:pPr>
        <w:ind w:left="1440" w:firstLine="720"/>
        <w:rPr>
          <w:sz w:val="24"/>
          <w:szCs w:val="24"/>
        </w:rPr>
      </w:pPr>
      <w:r w:rsidRPr="0065196F">
        <w:rPr>
          <w:sz w:val="24"/>
          <w:szCs w:val="24"/>
        </w:rPr>
        <w:t>Call Volume for January, 2016:                                    51,545</w:t>
      </w:r>
    </w:p>
    <w:p w:rsidR="00B06F6A" w:rsidRPr="0065196F" w:rsidRDefault="00B06F6A" w:rsidP="00B06F6A">
      <w:pPr>
        <w:ind w:left="1440" w:firstLine="720"/>
        <w:rPr>
          <w:sz w:val="24"/>
          <w:szCs w:val="24"/>
        </w:rPr>
      </w:pPr>
      <w:r w:rsidRPr="0065196F">
        <w:rPr>
          <w:sz w:val="24"/>
          <w:szCs w:val="24"/>
        </w:rPr>
        <w:t>Average Wait Time:                                                       20 Minutes, 42 seconds</w:t>
      </w:r>
    </w:p>
    <w:p w:rsidR="00B06F6A" w:rsidRPr="0065196F" w:rsidRDefault="00B06F6A" w:rsidP="00B06F6A">
      <w:pPr>
        <w:ind w:left="1440"/>
        <w:rPr>
          <w:sz w:val="24"/>
          <w:szCs w:val="24"/>
        </w:rPr>
      </w:pPr>
      <w:r w:rsidRPr="0065196F">
        <w:rPr>
          <w:b/>
          <w:bCs/>
          <w:sz w:val="24"/>
          <w:szCs w:val="24"/>
        </w:rPr>
        <w:t> </w:t>
      </w:r>
    </w:p>
    <w:p w:rsidR="00B06F6A" w:rsidRPr="0065196F" w:rsidRDefault="00B06F6A" w:rsidP="00B06F6A">
      <w:pPr>
        <w:ind w:left="1440"/>
        <w:rPr>
          <w:sz w:val="24"/>
          <w:szCs w:val="24"/>
        </w:rPr>
      </w:pPr>
      <w:r w:rsidRPr="0065196F">
        <w:rPr>
          <w:bCs/>
          <w:sz w:val="24"/>
          <w:szCs w:val="24"/>
        </w:rPr>
        <w:t>MinnesotaCare Operations:</w:t>
      </w:r>
    </w:p>
    <w:p w:rsidR="00B06F6A" w:rsidRPr="0065196F" w:rsidRDefault="00B06F6A" w:rsidP="00B06F6A">
      <w:pPr>
        <w:ind w:left="1440" w:firstLine="720"/>
        <w:rPr>
          <w:sz w:val="24"/>
          <w:szCs w:val="24"/>
        </w:rPr>
      </w:pPr>
      <w:r w:rsidRPr="0065196F">
        <w:rPr>
          <w:sz w:val="24"/>
          <w:szCs w:val="24"/>
        </w:rPr>
        <w:t>Call Volume for January, 2016:                                    5,284</w:t>
      </w:r>
    </w:p>
    <w:p w:rsidR="00B06F6A" w:rsidRPr="0065196F" w:rsidRDefault="00B06F6A" w:rsidP="00B06F6A">
      <w:pPr>
        <w:ind w:left="1440" w:firstLine="720"/>
        <w:rPr>
          <w:sz w:val="24"/>
          <w:szCs w:val="24"/>
        </w:rPr>
      </w:pPr>
      <w:r w:rsidRPr="0065196F">
        <w:rPr>
          <w:sz w:val="24"/>
          <w:szCs w:val="24"/>
        </w:rPr>
        <w:t>Average Wait Time:                                                       38 minutes, 8 seconds</w:t>
      </w:r>
    </w:p>
    <w:p w:rsidR="00B06F6A" w:rsidRPr="0065196F" w:rsidRDefault="00B06F6A" w:rsidP="008763C1">
      <w:pPr>
        <w:pStyle w:val="Heading2"/>
        <w:ind w:left="1440"/>
        <w:rPr>
          <w:rFonts w:ascii="Times New Roman" w:hAnsi="Times New Roman" w:cs="Times New Roman"/>
          <w:color w:val="auto"/>
          <w:sz w:val="24"/>
          <w:szCs w:val="24"/>
          <w:u w:val="single"/>
        </w:rPr>
      </w:pPr>
    </w:p>
    <w:p w:rsidR="008763C1" w:rsidRPr="0065196F" w:rsidRDefault="008763C1" w:rsidP="008763C1">
      <w:pPr>
        <w:pStyle w:val="Heading2"/>
        <w:ind w:left="1440"/>
        <w:rPr>
          <w:rFonts w:ascii="Times New Roman" w:hAnsi="Times New Roman" w:cs="Times New Roman"/>
          <w:color w:val="auto"/>
          <w:sz w:val="24"/>
          <w:szCs w:val="24"/>
          <w:u w:val="single"/>
        </w:rPr>
      </w:pPr>
      <w:r w:rsidRPr="0065196F">
        <w:rPr>
          <w:rFonts w:ascii="Times New Roman" w:hAnsi="Times New Roman" w:cs="Times New Roman"/>
          <w:color w:val="auto"/>
          <w:sz w:val="24"/>
          <w:szCs w:val="24"/>
          <w:u w:val="single"/>
        </w:rPr>
        <w:t>January, 2016:</w:t>
      </w:r>
    </w:p>
    <w:p w:rsidR="008763C1" w:rsidRPr="0065196F" w:rsidRDefault="008763C1" w:rsidP="008763C1">
      <w:pPr>
        <w:ind w:left="1440"/>
        <w:rPr>
          <w:sz w:val="24"/>
          <w:szCs w:val="24"/>
        </w:rPr>
      </w:pPr>
      <w:r w:rsidRPr="0065196F">
        <w:rPr>
          <w:sz w:val="24"/>
          <w:szCs w:val="24"/>
        </w:rPr>
        <w:t> </w:t>
      </w:r>
    </w:p>
    <w:p w:rsidR="008763C1" w:rsidRPr="0065196F" w:rsidRDefault="008763C1" w:rsidP="008763C1">
      <w:pPr>
        <w:ind w:left="1440"/>
        <w:rPr>
          <w:sz w:val="24"/>
          <w:szCs w:val="24"/>
        </w:rPr>
      </w:pPr>
      <w:r w:rsidRPr="0065196F">
        <w:rPr>
          <w:bCs/>
          <w:sz w:val="24"/>
          <w:szCs w:val="24"/>
        </w:rPr>
        <w:t xml:space="preserve">Member Help Desk: </w:t>
      </w:r>
    </w:p>
    <w:p w:rsidR="008763C1" w:rsidRPr="0065196F" w:rsidRDefault="008763C1" w:rsidP="008763C1">
      <w:pPr>
        <w:ind w:left="1440" w:firstLine="720"/>
        <w:rPr>
          <w:sz w:val="24"/>
          <w:szCs w:val="24"/>
        </w:rPr>
      </w:pPr>
      <w:r w:rsidRPr="0065196F">
        <w:rPr>
          <w:sz w:val="24"/>
          <w:szCs w:val="24"/>
        </w:rPr>
        <w:t>Call Volume for January, 2016:                                    57,824</w:t>
      </w:r>
    </w:p>
    <w:p w:rsidR="008763C1" w:rsidRPr="0065196F" w:rsidRDefault="008763C1" w:rsidP="008763C1">
      <w:pPr>
        <w:ind w:left="1440" w:firstLine="720"/>
        <w:rPr>
          <w:sz w:val="24"/>
          <w:szCs w:val="24"/>
        </w:rPr>
      </w:pPr>
      <w:r w:rsidRPr="0065196F">
        <w:rPr>
          <w:sz w:val="24"/>
          <w:szCs w:val="24"/>
        </w:rPr>
        <w:t>Average Wait Time:                                                       20 Minutes, 6 seconds</w:t>
      </w:r>
    </w:p>
    <w:p w:rsidR="008763C1" w:rsidRPr="0065196F" w:rsidRDefault="008763C1" w:rsidP="008763C1">
      <w:pPr>
        <w:ind w:left="1440"/>
        <w:rPr>
          <w:sz w:val="24"/>
          <w:szCs w:val="24"/>
        </w:rPr>
      </w:pPr>
      <w:r w:rsidRPr="0065196F">
        <w:rPr>
          <w:bCs/>
          <w:sz w:val="24"/>
          <w:szCs w:val="24"/>
        </w:rPr>
        <w:t> </w:t>
      </w:r>
    </w:p>
    <w:p w:rsidR="008763C1" w:rsidRPr="0065196F" w:rsidRDefault="008763C1" w:rsidP="008763C1">
      <w:pPr>
        <w:ind w:left="1440"/>
        <w:rPr>
          <w:sz w:val="24"/>
          <w:szCs w:val="24"/>
        </w:rPr>
      </w:pPr>
      <w:r w:rsidRPr="0065196F">
        <w:rPr>
          <w:bCs/>
          <w:sz w:val="24"/>
          <w:szCs w:val="24"/>
        </w:rPr>
        <w:t>MinnesotaCare Operations:</w:t>
      </w:r>
    </w:p>
    <w:p w:rsidR="008763C1" w:rsidRPr="0065196F" w:rsidRDefault="008763C1" w:rsidP="008763C1">
      <w:pPr>
        <w:ind w:left="1440" w:firstLine="720"/>
        <w:rPr>
          <w:sz w:val="24"/>
          <w:szCs w:val="24"/>
        </w:rPr>
      </w:pPr>
      <w:r w:rsidRPr="0065196F">
        <w:rPr>
          <w:sz w:val="24"/>
          <w:szCs w:val="24"/>
        </w:rPr>
        <w:t>Call Volume for January, 2016:                                    34,732</w:t>
      </w:r>
    </w:p>
    <w:p w:rsidR="008763C1" w:rsidRPr="0065196F" w:rsidRDefault="008763C1" w:rsidP="008763C1">
      <w:pPr>
        <w:ind w:left="1440" w:firstLine="720"/>
        <w:rPr>
          <w:sz w:val="24"/>
          <w:szCs w:val="24"/>
        </w:rPr>
      </w:pPr>
      <w:r w:rsidRPr="0065196F">
        <w:rPr>
          <w:sz w:val="24"/>
          <w:szCs w:val="24"/>
        </w:rPr>
        <w:t>Average Wait Time:                                                       30 minutes, 47 seconds</w:t>
      </w:r>
    </w:p>
    <w:p w:rsidR="008763C1" w:rsidRPr="0065196F" w:rsidRDefault="008763C1" w:rsidP="008763C1">
      <w:pPr>
        <w:ind w:left="1440"/>
        <w:rPr>
          <w:sz w:val="24"/>
          <w:szCs w:val="24"/>
        </w:rPr>
      </w:pPr>
      <w:r w:rsidRPr="0065196F">
        <w:rPr>
          <w:color w:val="1F497D"/>
          <w:sz w:val="24"/>
          <w:szCs w:val="24"/>
        </w:rPr>
        <w:t> </w:t>
      </w:r>
    </w:p>
    <w:p w:rsidR="004D5937" w:rsidRPr="0065196F" w:rsidRDefault="004D5937" w:rsidP="004D5937">
      <w:pPr>
        <w:pStyle w:val="Header"/>
        <w:tabs>
          <w:tab w:val="clear" w:pos="4320"/>
          <w:tab w:val="clear" w:pos="8640"/>
          <w:tab w:val="left" w:pos="1440"/>
        </w:tabs>
        <w:ind w:left="1440"/>
        <w:rPr>
          <w:szCs w:val="24"/>
        </w:rPr>
      </w:pPr>
    </w:p>
    <w:p w:rsidR="00A618F8" w:rsidRPr="0065196F" w:rsidRDefault="00A618F8" w:rsidP="004D5937">
      <w:pPr>
        <w:pStyle w:val="Header"/>
        <w:tabs>
          <w:tab w:val="clear" w:pos="4320"/>
          <w:tab w:val="clear" w:pos="8640"/>
          <w:tab w:val="left" w:pos="1440"/>
        </w:tabs>
        <w:ind w:left="1440"/>
        <w:rPr>
          <w:szCs w:val="24"/>
        </w:rPr>
      </w:pPr>
    </w:p>
    <w:p w:rsidR="00A618F8" w:rsidRPr="0065196F" w:rsidRDefault="00A618F8" w:rsidP="004D5937">
      <w:pPr>
        <w:pStyle w:val="Header"/>
        <w:tabs>
          <w:tab w:val="clear" w:pos="4320"/>
          <w:tab w:val="clear" w:pos="8640"/>
          <w:tab w:val="left" w:pos="1440"/>
        </w:tabs>
        <w:ind w:left="1440"/>
        <w:rPr>
          <w:szCs w:val="24"/>
        </w:rPr>
      </w:pPr>
    </w:p>
    <w:p w:rsidR="004D5937" w:rsidRPr="0065196F" w:rsidRDefault="00A618F8" w:rsidP="004D5937">
      <w:pPr>
        <w:pStyle w:val="Header"/>
        <w:tabs>
          <w:tab w:val="clear" w:pos="4320"/>
          <w:tab w:val="clear" w:pos="8640"/>
          <w:tab w:val="left" w:pos="1440"/>
        </w:tabs>
        <w:ind w:left="1440"/>
        <w:rPr>
          <w:b/>
          <w:szCs w:val="24"/>
        </w:rPr>
      </w:pPr>
      <w:r w:rsidRPr="0065196F">
        <w:rPr>
          <w:b/>
          <w:szCs w:val="24"/>
        </w:rPr>
        <w:lastRenderedPageBreak/>
        <w:t>Are the 2014 PERM audit findings comparable to the 2014 Office of Legislative Auditor eligibility audit?</w:t>
      </w:r>
    </w:p>
    <w:p w:rsidR="00A618F8" w:rsidRPr="0065196F" w:rsidRDefault="00A618F8" w:rsidP="004D5937">
      <w:pPr>
        <w:pStyle w:val="Header"/>
        <w:tabs>
          <w:tab w:val="clear" w:pos="4320"/>
          <w:tab w:val="clear" w:pos="8640"/>
          <w:tab w:val="left" w:pos="1440"/>
        </w:tabs>
        <w:ind w:left="1440"/>
        <w:rPr>
          <w:szCs w:val="24"/>
        </w:rPr>
      </w:pPr>
    </w:p>
    <w:p w:rsidR="00A618F8" w:rsidRPr="0065196F" w:rsidRDefault="00A618F8" w:rsidP="002E7E56">
      <w:pPr>
        <w:rPr>
          <w:sz w:val="24"/>
          <w:szCs w:val="24"/>
        </w:rPr>
      </w:pPr>
      <w:r w:rsidRPr="0065196F">
        <w:rPr>
          <w:sz w:val="24"/>
          <w:szCs w:val="24"/>
        </w:rPr>
        <w:tab/>
      </w:r>
      <w:r w:rsidRPr="0065196F">
        <w:rPr>
          <w:sz w:val="24"/>
          <w:szCs w:val="24"/>
        </w:rPr>
        <w:tab/>
        <w:t xml:space="preserve">The 2014 PERM sample only included about a dozen cases in the new METS system, so </w:t>
      </w:r>
      <w:r w:rsidRPr="0065196F">
        <w:rPr>
          <w:sz w:val="24"/>
          <w:szCs w:val="24"/>
        </w:rPr>
        <w:tab/>
      </w:r>
      <w:r w:rsidRPr="0065196F">
        <w:rPr>
          <w:sz w:val="24"/>
          <w:szCs w:val="24"/>
        </w:rPr>
        <w:tab/>
      </w:r>
      <w:r w:rsidRPr="0065196F">
        <w:rPr>
          <w:sz w:val="24"/>
          <w:szCs w:val="24"/>
        </w:rPr>
        <w:tab/>
        <w:t xml:space="preserve">it was not comparable to the OLA audit from 2014.  </w:t>
      </w:r>
    </w:p>
    <w:p w:rsidR="004D5937" w:rsidRPr="0065196F" w:rsidRDefault="004D5937" w:rsidP="004D5937">
      <w:pPr>
        <w:pStyle w:val="Header"/>
        <w:tabs>
          <w:tab w:val="clear" w:pos="4320"/>
          <w:tab w:val="clear" w:pos="8640"/>
          <w:tab w:val="left" w:pos="1440"/>
        </w:tabs>
        <w:ind w:left="1440"/>
        <w:rPr>
          <w:szCs w:val="24"/>
        </w:rPr>
      </w:pPr>
    </w:p>
    <w:p w:rsidR="004D5937" w:rsidRPr="0065196F" w:rsidRDefault="00DA2439" w:rsidP="004D5937">
      <w:pPr>
        <w:pStyle w:val="Header"/>
        <w:tabs>
          <w:tab w:val="clear" w:pos="4320"/>
          <w:tab w:val="clear" w:pos="8640"/>
          <w:tab w:val="left" w:pos="1440"/>
        </w:tabs>
        <w:ind w:left="1440"/>
        <w:rPr>
          <w:b/>
          <w:szCs w:val="24"/>
        </w:rPr>
      </w:pPr>
      <w:r w:rsidRPr="0065196F">
        <w:rPr>
          <w:b/>
          <w:szCs w:val="24"/>
        </w:rPr>
        <w:t>Please provide additional detail on the cost allocation between DHS and MNsure.</w:t>
      </w:r>
    </w:p>
    <w:p w:rsidR="00AE7F36" w:rsidRPr="0065196F" w:rsidRDefault="00AE7F36" w:rsidP="004D5937">
      <w:pPr>
        <w:pStyle w:val="Header"/>
        <w:tabs>
          <w:tab w:val="clear" w:pos="4320"/>
          <w:tab w:val="clear" w:pos="8640"/>
          <w:tab w:val="left" w:pos="1440"/>
        </w:tabs>
        <w:ind w:left="1440"/>
        <w:rPr>
          <w:szCs w:val="24"/>
        </w:rPr>
      </w:pPr>
    </w:p>
    <w:p w:rsidR="00AE7F36" w:rsidRPr="0065196F" w:rsidRDefault="00AE7F36" w:rsidP="00DA2439">
      <w:pPr>
        <w:ind w:left="1440"/>
        <w:rPr>
          <w:sz w:val="24"/>
          <w:szCs w:val="24"/>
        </w:rPr>
      </w:pPr>
      <w:r w:rsidRPr="0065196F">
        <w:rPr>
          <w:sz w:val="24"/>
          <w:szCs w:val="24"/>
        </w:rPr>
        <w:t>When the legislature created MNsure, the authorizing legislation required MNsure to carry-out certain activities.  Many of these activities benefit public program enrollees – people on Medical Assistance and MinnesotaCare.  The legislature also chose to finance MNsure through a combination of premium withhold revenue and allocation of costs to DHS.  Funds appropriated to DHS are cost allocated to MNsure to support the activities that benefit public program enrollees.</w:t>
      </w:r>
    </w:p>
    <w:p w:rsidR="00AE7F36" w:rsidRPr="0065196F" w:rsidRDefault="00AE7F36" w:rsidP="00DA2439">
      <w:pPr>
        <w:ind w:left="1440"/>
        <w:rPr>
          <w:sz w:val="24"/>
          <w:szCs w:val="24"/>
        </w:rPr>
      </w:pPr>
      <w:r w:rsidRPr="0065196F">
        <w:rPr>
          <w:sz w:val="24"/>
          <w:szCs w:val="24"/>
        </w:rPr>
        <w:br/>
        <w:t>There a</w:t>
      </w:r>
      <w:r w:rsidR="002E7E56" w:rsidRPr="0065196F">
        <w:rPr>
          <w:sz w:val="24"/>
          <w:szCs w:val="24"/>
        </w:rPr>
        <w:t>re three documents attached for additional information</w:t>
      </w:r>
      <w:r w:rsidRPr="0065196F">
        <w:rPr>
          <w:sz w:val="24"/>
          <w:szCs w:val="24"/>
        </w:rPr>
        <w:t>:</w:t>
      </w:r>
    </w:p>
    <w:p w:rsidR="00AE7F36" w:rsidRPr="0065196F" w:rsidRDefault="00AE7F36" w:rsidP="00DA2439">
      <w:pPr>
        <w:ind w:left="1440"/>
        <w:rPr>
          <w:sz w:val="24"/>
          <w:szCs w:val="24"/>
        </w:rPr>
      </w:pPr>
    </w:p>
    <w:p w:rsidR="00AE7F36" w:rsidRPr="0065196F" w:rsidRDefault="00AE7F36" w:rsidP="00DA2439">
      <w:pPr>
        <w:pStyle w:val="ListParagraph"/>
        <w:numPr>
          <w:ilvl w:val="0"/>
          <w:numId w:val="1"/>
        </w:numPr>
        <w:ind w:left="1440"/>
        <w:rPr>
          <w:rFonts w:ascii="Times New Roman" w:hAnsi="Times New Roman"/>
          <w:sz w:val="24"/>
          <w:szCs w:val="24"/>
        </w:rPr>
      </w:pPr>
      <w:r w:rsidRPr="0065196F">
        <w:rPr>
          <w:rFonts w:ascii="Times New Roman" w:hAnsi="Times New Roman"/>
          <w:bCs/>
          <w:sz w:val="24"/>
          <w:szCs w:val="24"/>
        </w:rPr>
        <w:t>Appropriations to DHS to support MNsure</w:t>
      </w:r>
      <w:r w:rsidR="00DA2439" w:rsidRPr="0065196F">
        <w:rPr>
          <w:rFonts w:ascii="Times New Roman" w:hAnsi="Times New Roman"/>
          <w:b/>
          <w:bCs/>
          <w:sz w:val="24"/>
          <w:szCs w:val="24"/>
        </w:rPr>
        <w:t xml:space="preserve">: </w:t>
      </w:r>
      <w:r w:rsidRPr="0065196F">
        <w:rPr>
          <w:rFonts w:ascii="Times New Roman" w:hAnsi="Times New Roman"/>
          <w:sz w:val="24"/>
          <w:szCs w:val="24"/>
        </w:rPr>
        <w:t>This document details the history of the appropriation to DHS to support MNsure business operations as well as the costs of the Minnesota Eligibility Technology System (METS).</w:t>
      </w:r>
    </w:p>
    <w:p w:rsidR="00AE7F36" w:rsidRPr="0065196F" w:rsidRDefault="00AE7F36" w:rsidP="00DA2439">
      <w:pPr>
        <w:pStyle w:val="ListParagraph"/>
        <w:numPr>
          <w:ilvl w:val="0"/>
          <w:numId w:val="1"/>
        </w:numPr>
        <w:ind w:left="1440"/>
        <w:rPr>
          <w:rFonts w:ascii="Times New Roman" w:hAnsi="Times New Roman"/>
          <w:sz w:val="24"/>
          <w:szCs w:val="24"/>
        </w:rPr>
      </w:pPr>
      <w:r w:rsidRPr="0065196F">
        <w:rPr>
          <w:rFonts w:ascii="Times New Roman" w:hAnsi="Times New Roman"/>
          <w:bCs/>
          <w:sz w:val="24"/>
          <w:szCs w:val="24"/>
        </w:rPr>
        <w:t>Detail of MNsure budget and revenue sources</w:t>
      </w:r>
      <w:r w:rsidR="00DA2439" w:rsidRPr="0065196F">
        <w:rPr>
          <w:rFonts w:ascii="Times New Roman" w:hAnsi="Times New Roman"/>
          <w:b/>
          <w:bCs/>
          <w:sz w:val="24"/>
          <w:szCs w:val="24"/>
        </w:rPr>
        <w:t xml:space="preserve">: </w:t>
      </w:r>
      <w:r w:rsidRPr="0065196F">
        <w:rPr>
          <w:rFonts w:ascii="Times New Roman" w:hAnsi="Times New Roman"/>
          <w:sz w:val="24"/>
          <w:szCs w:val="24"/>
        </w:rPr>
        <w:t xml:space="preserve"> This table provides the MNsure budget for SFY16 and projected budget for SFY17 by expenditure area with detail on the revenue source supporting the expenditures.</w:t>
      </w:r>
    </w:p>
    <w:p w:rsidR="00AE7F36" w:rsidRPr="0065196F" w:rsidRDefault="00AE7F36" w:rsidP="00DA2439">
      <w:pPr>
        <w:pStyle w:val="ListParagraph"/>
        <w:numPr>
          <w:ilvl w:val="0"/>
          <w:numId w:val="1"/>
        </w:numPr>
        <w:ind w:left="1440"/>
        <w:rPr>
          <w:rFonts w:ascii="Times New Roman" w:hAnsi="Times New Roman"/>
          <w:sz w:val="24"/>
          <w:szCs w:val="24"/>
        </w:rPr>
      </w:pPr>
      <w:r w:rsidRPr="0065196F">
        <w:rPr>
          <w:rFonts w:ascii="Times New Roman" w:hAnsi="Times New Roman"/>
          <w:bCs/>
          <w:sz w:val="24"/>
          <w:szCs w:val="24"/>
        </w:rPr>
        <w:t>Explanation of MNsure e</w:t>
      </w:r>
      <w:r w:rsidR="00DA2439" w:rsidRPr="0065196F">
        <w:rPr>
          <w:rFonts w:ascii="Times New Roman" w:hAnsi="Times New Roman"/>
          <w:bCs/>
          <w:sz w:val="24"/>
          <w:szCs w:val="24"/>
        </w:rPr>
        <w:t xml:space="preserve">xpenditures and cost allocation: </w:t>
      </w:r>
      <w:r w:rsidRPr="0065196F">
        <w:rPr>
          <w:rFonts w:ascii="Times New Roman" w:hAnsi="Times New Roman"/>
          <w:sz w:val="24"/>
          <w:szCs w:val="24"/>
        </w:rPr>
        <w:t xml:space="preserve"> This document explains the expenditures and cost allocation in the table.</w:t>
      </w:r>
    </w:p>
    <w:p w:rsidR="00AE7F36" w:rsidRPr="0065196F" w:rsidRDefault="00AE7F36" w:rsidP="0072789A">
      <w:pPr>
        <w:pStyle w:val="Header"/>
        <w:tabs>
          <w:tab w:val="clear" w:pos="4320"/>
          <w:tab w:val="clear" w:pos="8640"/>
          <w:tab w:val="left" w:pos="1440"/>
        </w:tabs>
        <w:rPr>
          <w:szCs w:val="24"/>
        </w:rPr>
      </w:pPr>
    </w:p>
    <w:p w:rsidR="0072789A" w:rsidRPr="0065196F" w:rsidRDefault="0072789A" w:rsidP="0072789A">
      <w:pPr>
        <w:pStyle w:val="Header"/>
        <w:tabs>
          <w:tab w:val="clear" w:pos="4320"/>
          <w:tab w:val="clear" w:pos="8640"/>
          <w:tab w:val="left" w:pos="1440"/>
        </w:tabs>
        <w:ind w:left="1440"/>
        <w:rPr>
          <w:b/>
          <w:szCs w:val="24"/>
        </w:rPr>
      </w:pPr>
      <w:r w:rsidRPr="0065196F">
        <w:rPr>
          <w:b/>
          <w:szCs w:val="24"/>
        </w:rPr>
        <w:t>Please provide additional detail about why the error rate for MinnesotaCare premiums in the OLA report released in November 2014 does not match the error rate cited in the BHP blueprint submitted in December.</w:t>
      </w:r>
    </w:p>
    <w:p w:rsidR="0072789A" w:rsidRPr="0065196F" w:rsidRDefault="0072789A" w:rsidP="0072789A">
      <w:pPr>
        <w:pStyle w:val="Header"/>
        <w:tabs>
          <w:tab w:val="clear" w:pos="4320"/>
          <w:tab w:val="clear" w:pos="8640"/>
          <w:tab w:val="left" w:pos="1440"/>
        </w:tabs>
        <w:ind w:left="1440"/>
        <w:rPr>
          <w:b/>
          <w:szCs w:val="24"/>
        </w:rPr>
      </w:pPr>
    </w:p>
    <w:p w:rsidR="00526FB0" w:rsidRPr="0065196F" w:rsidRDefault="0072789A" w:rsidP="0072789A">
      <w:pPr>
        <w:ind w:left="1440"/>
        <w:rPr>
          <w:sz w:val="24"/>
          <w:szCs w:val="24"/>
        </w:rPr>
      </w:pPr>
      <w:r w:rsidRPr="0065196F">
        <w:rPr>
          <w:sz w:val="24"/>
          <w:szCs w:val="24"/>
        </w:rPr>
        <w:t>The OLA audit report issued in November of 2014 indicated a significant issue with MinnesotaCare premiums based on the audit period of October 2013 through April 2014.  In the summer of 2014, systems changes were implemented that improved the MinnesotaCare premium process</w:t>
      </w:r>
      <w:r w:rsidR="00CE3B2C">
        <w:rPr>
          <w:sz w:val="24"/>
          <w:szCs w:val="24"/>
        </w:rPr>
        <w:t>, which was after the time frame analyzed by the OLA</w:t>
      </w:r>
      <w:r w:rsidRPr="0065196F">
        <w:rPr>
          <w:sz w:val="24"/>
          <w:szCs w:val="24"/>
        </w:rPr>
        <w:t xml:space="preserve">. </w:t>
      </w:r>
    </w:p>
    <w:p w:rsidR="00526FB0" w:rsidRPr="0065196F" w:rsidRDefault="00526FB0" w:rsidP="0072789A">
      <w:pPr>
        <w:ind w:left="1440"/>
        <w:rPr>
          <w:sz w:val="24"/>
          <w:szCs w:val="24"/>
        </w:rPr>
      </w:pPr>
    </w:p>
    <w:p w:rsidR="0072789A" w:rsidRPr="0065196F" w:rsidRDefault="00526FB0" w:rsidP="0072789A">
      <w:pPr>
        <w:ind w:left="1440"/>
        <w:rPr>
          <w:sz w:val="24"/>
          <w:szCs w:val="24"/>
        </w:rPr>
      </w:pPr>
      <w:r w:rsidRPr="0065196F">
        <w:rPr>
          <w:sz w:val="24"/>
          <w:szCs w:val="24"/>
        </w:rPr>
        <w:t>The BHP blue print was</w:t>
      </w:r>
      <w:r w:rsidR="00721E33">
        <w:rPr>
          <w:sz w:val="24"/>
          <w:szCs w:val="24"/>
        </w:rPr>
        <w:t xml:space="preserve"> published for comment on October 13, 2014, prior to the OLA report, though it was not formally </w:t>
      </w:r>
      <w:r w:rsidR="0072789A" w:rsidRPr="0065196F">
        <w:rPr>
          <w:sz w:val="24"/>
          <w:szCs w:val="24"/>
        </w:rPr>
        <w:t xml:space="preserve">submitted </w:t>
      </w:r>
      <w:r w:rsidR="00721E33">
        <w:rPr>
          <w:sz w:val="24"/>
          <w:szCs w:val="24"/>
        </w:rPr>
        <w:t xml:space="preserve">to CMS until </w:t>
      </w:r>
      <w:r w:rsidR="0072789A" w:rsidRPr="0065196F">
        <w:rPr>
          <w:sz w:val="24"/>
          <w:szCs w:val="24"/>
        </w:rPr>
        <w:t>December</w:t>
      </w:r>
      <w:r w:rsidR="00721E33">
        <w:rPr>
          <w:sz w:val="24"/>
          <w:szCs w:val="24"/>
        </w:rPr>
        <w:t>.</w:t>
      </w:r>
      <w:r w:rsidR="0072789A" w:rsidRPr="0065196F">
        <w:rPr>
          <w:sz w:val="24"/>
          <w:szCs w:val="24"/>
        </w:rPr>
        <w:t xml:space="preserve">  </w:t>
      </w:r>
      <w:r w:rsidR="00721E33">
        <w:rPr>
          <w:sz w:val="24"/>
          <w:szCs w:val="24"/>
        </w:rPr>
        <w:t>The statement in the Blueprint was a rough estimate of certain types of premium error</w:t>
      </w:r>
      <w:r w:rsidR="00CE3B2C">
        <w:rPr>
          <w:sz w:val="24"/>
          <w:szCs w:val="24"/>
        </w:rPr>
        <w:t>s</w:t>
      </w:r>
      <w:r w:rsidR="00721E33">
        <w:rPr>
          <w:sz w:val="24"/>
          <w:szCs w:val="24"/>
        </w:rPr>
        <w:t xml:space="preserve"> that were known at the time to eligibility operations (households double-billed, no invoice issued, household number underrepresented), and not all types of premium error.  </w:t>
      </w:r>
    </w:p>
    <w:p w:rsidR="0072789A" w:rsidRPr="0065196F" w:rsidRDefault="0072789A" w:rsidP="0072789A">
      <w:pPr>
        <w:ind w:left="1440"/>
        <w:rPr>
          <w:sz w:val="24"/>
          <w:szCs w:val="24"/>
        </w:rPr>
      </w:pPr>
      <w:r w:rsidRPr="0065196F">
        <w:rPr>
          <w:sz w:val="24"/>
          <w:szCs w:val="24"/>
        </w:rPr>
        <w:t xml:space="preserve"> </w:t>
      </w:r>
    </w:p>
    <w:p w:rsidR="0072789A" w:rsidRPr="0065196F" w:rsidRDefault="0072789A" w:rsidP="0072789A">
      <w:pPr>
        <w:pStyle w:val="Header"/>
        <w:tabs>
          <w:tab w:val="clear" w:pos="4320"/>
          <w:tab w:val="clear" w:pos="8640"/>
          <w:tab w:val="left" w:pos="1440"/>
        </w:tabs>
        <w:ind w:left="1440"/>
        <w:rPr>
          <w:b/>
          <w:szCs w:val="24"/>
        </w:rPr>
      </w:pPr>
    </w:p>
    <w:p w:rsidR="00110DE9" w:rsidRPr="0065196F" w:rsidRDefault="00110DE9">
      <w:pPr>
        <w:rPr>
          <w:sz w:val="24"/>
          <w:szCs w:val="24"/>
        </w:rPr>
      </w:pPr>
      <w:bookmarkStart w:id="0" w:name="_GoBack"/>
      <w:bookmarkEnd w:id="0"/>
    </w:p>
    <w:sectPr w:rsidR="00110DE9" w:rsidRPr="0065196F" w:rsidSect="004D5937">
      <w:headerReference w:type="first" r:id="rId7"/>
      <w:footerReference w:type="first" r:id="rId8"/>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374" w:rsidRDefault="00091374">
      <w:r>
        <w:separator/>
      </w:r>
    </w:p>
  </w:endnote>
  <w:endnote w:type="continuationSeparator" w:id="0">
    <w:p w:rsidR="00091374" w:rsidRDefault="0009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utura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19" w:rsidRDefault="004D5937">
    <w:pPr>
      <w:pStyle w:val="Footer"/>
      <w:spacing w:before="120"/>
      <w:jc w:val="center"/>
      <w:rPr>
        <w:sz w:val="17"/>
      </w:rPr>
    </w:pPr>
    <w:smartTag w:uri="urn:schemas-microsoft-com:office:smarttags" w:element="address">
      <w:smartTag w:uri="urn:schemas-microsoft-com:office:smarttags" w:element="Street">
        <w:r>
          <w:rPr>
            <w:i/>
            <w:sz w:val="17"/>
          </w:rPr>
          <w:t>P.O. Box 64998</w:t>
        </w:r>
      </w:smartTag>
      <w:r>
        <w:rPr>
          <w:i/>
          <w:sz w:val="17"/>
        </w:rPr>
        <w:t xml:space="preserve">  </w:t>
      </w:r>
      <w:r>
        <w:rPr>
          <w:i/>
          <w:sz w:val="17"/>
        </w:rPr>
        <w:sym w:font="Symbol" w:char="F0B7"/>
      </w:r>
      <w:r>
        <w:rPr>
          <w:i/>
          <w:sz w:val="17"/>
        </w:rPr>
        <w:t xml:space="preserve">   </w:t>
      </w:r>
      <w:smartTag w:uri="urn:schemas-microsoft-com:office:smarttags" w:element="City">
        <w:r>
          <w:rPr>
            <w:i/>
            <w:sz w:val="17"/>
          </w:rPr>
          <w:t>Saint Paul</w:t>
        </w:r>
      </w:smartTag>
      <w:r>
        <w:rPr>
          <w:i/>
          <w:sz w:val="17"/>
        </w:rPr>
        <w:t xml:space="preserve">, </w:t>
      </w:r>
      <w:smartTag w:uri="urn:schemas-microsoft-com:office:smarttags" w:element="State">
        <w:r>
          <w:rPr>
            <w:i/>
            <w:sz w:val="17"/>
          </w:rPr>
          <w:t>Minnesota</w:t>
        </w:r>
      </w:smartTag>
      <w:r>
        <w:rPr>
          <w:i/>
          <w:sz w:val="17"/>
        </w:rPr>
        <w:t xml:space="preserve">  </w:t>
      </w:r>
      <w:r>
        <w:rPr>
          <w:i/>
          <w:sz w:val="17"/>
        </w:rPr>
        <w:sym w:font="Symbol" w:char="F0B7"/>
      </w:r>
      <w:r>
        <w:rPr>
          <w:i/>
          <w:sz w:val="17"/>
        </w:rPr>
        <w:t xml:space="preserve">   </w:t>
      </w:r>
      <w:smartTag w:uri="urn:schemas-microsoft-com:office:smarttags" w:element="PostalCode">
        <w:r>
          <w:rPr>
            <w:i/>
            <w:sz w:val="17"/>
          </w:rPr>
          <w:t>55164-0998</w:t>
        </w:r>
      </w:smartTag>
    </w:smartTag>
    <w:r>
      <w:rPr>
        <w:i/>
        <w:sz w:val="17"/>
      </w:rPr>
      <w:t xml:space="preserve">  </w:t>
    </w:r>
    <w:r>
      <w:rPr>
        <w:i/>
        <w:sz w:val="17"/>
      </w:rPr>
      <w:sym w:font="Symbol" w:char="F0B7"/>
    </w:r>
    <w:r>
      <w:rPr>
        <w:i/>
        <w:sz w:val="17"/>
      </w:rPr>
      <w:t xml:space="preserve">   An Equal Opportunity Employer</w:t>
    </w:r>
  </w:p>
  <w:p w:rsidR="006D0219" w:rsidRDefault="00091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374" w:rsidRDefault="00091374">
      <w:r>
        <w:separator/>
      </w:r>
    </w:p>
  </w:footnote>
  <w:footnote w:type="continuationSeparator" w:id="0">
    <w:p w:rsidR="00091374" w:rsidRDefault="00091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19" w:rsidRDefault="004D5937">
    <w:pPr>
      <w:pStyle w:val="Header"/>
      <w:tabs>
        <w:tab w:val="clear" w:pos="4320"/>
        <w:tab w:val="clear" w:pos="8640"/>
        <w:tab w:val="right" w:pos="10080"/>
      </w:tabs>
      <w:spacing w:line="240" w:lineRule="atLeast"/>
      <w:rPr>
        <w:rFonts w:ascii="Futura Light" w:hAnsi="Futura Light"/>
      </w:rPr>
    </w:pPr>
    <w:r>
      <w:rPr>
        <w:noProof/>
      </w:rPr>
      <w:drawing>
        <wp:inline distT="0" distB="0" distL="0" distR="0">
          <wp:extent cx="1314450" cy="685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85800"/>
                  </a:xfrm>
                  <a:prstGeom prst="rect">
                    <a:avLst/>
                  </a:prstGeom>
                  <a:noFill/>
                  <a:ln>
                    <a:noFill/>
                  </a:ln>
                </pic:spPr>
              </pic:pic>
            </a:graphicData>
          </a:graphic>
        </wp:inline>
      </w:drawing>
    </w:r>
    <w:r>
      <w:tab/>
    </w:r>
    <w:r>
      <w:rPr>
        <w:rFonts w:ascii="Arial" w:hAnsi="Arial"/>
        <w:i/>
        <w:sz w:val="44"/>
      </w:rPr>
      <w:t>Memo</w:t>
    </w:r>
  </w:p>
  <w:p w:rsidR="006D0219" w:rsidRDefault="004D5937">
    <w:pPr>
      <w:pStyle w:val="Header"/>
      <w:tabs>
        <w:tab w:val="clear" w:pos="8640"/>
      </w:tabs>
      <w:spacing w:after="240" w:line="280" w:lineRule="exact"/>
      <w:ind w:right="-374"/>
    </w:pPr>
    <w:r>
      <w:rPr>
        <w:noProof/>
        <w:sz w:val="30"/>
      </w:rPr>
      <mc:AlternateContent>
        <mc:Choice Requires="wps">
          <w:drawing>
            <wp:anchor distT="0" distB="0" distL="114300" distR="114300" simplePos="0" relativeHeight="251659264" behindDoc="0" locked="0" layoutInCell="0" allowOverlap="1">
              <wp:simplePos x="0" y="0"/>
              <wp:positionH relativeFrom="column">
                <wp:posOffset>3611880</wp:posOffset>
              </wp:positionH>
              <wp:positionV relativeFrom="paragraph">
                <wp:posOffset>81280</wp:posOffset>
              </wp:positionV>
              <wp:extent cx="28346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628E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6.4pt" to="50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" o:allowincell="f" strokeweight=".25pt"/>
          </w:pict>
        </mc:Fallback>
      </mc:AlternateContent>
    </w:r>
    <w:r>
      <w:rPr>
        <w:sz w:val="30"/>
      </w:rPr>
      <w:t xml:space="preserve">Minnesota Department of </w:t>
    </w:r>
    <w:r>
      <w:rPr>
        <w:rFonts w:ascii="Arial Black" w:hAnsi="Arial Black"/>
        <w:sz w:val="28"/>
      </w:rPr>
      <w:t>Human Services</w:t>
    </w:r>
  </w:p>
  <w:p w:rsidR="006D0219" w:rsidRDefault="000913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B3A2B"/>
    <w:multiLevelType w:val="hybridMultilevel"/>
    <w:tmpl w:val="9DF2F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37"/>
    <w:rsid w:val="00091374"/>
    <w:rsid w:val="00110DE9"/>
    <w:rsid w:val="002E7E56"/>
    <w:rsid w:val="003C7657"/>
    <w:rsid w:val="003E7DDB"/>
    <w:rsid w:val="004D5937"/>
    <w:rsid w:val="00526FB0"/>
    <w:rsid w:val="0056130B"/>
    <w:rsid w:val="00597AE1"/>
    <w:rsid w:val="0065196F"/>
    <w:rsid w:val="00721E33"/>
    <w:rsid w:val="0072789A"/>
    <w:rsid w:val="008763C1"/>
    <w:rsid w:val="00945A8F"/>
    <w:rsid w:val="009E75BD"/>
    <w:rsid w:val="00A439BB"/>
    <w:rsid w:val="00A618F8"/>
    <w:rsid w:val="00AE7F36"/>
    <w:rsid w:val="00AF31F0"/>
    <w:rsid w:val="00B06F6A"/>
    <w:rsid w:val="00B70C1A"/>
    <w:rsid w:val="00C53BB8"/>
    <w:rsid w:val="00CE3B2C"/>
    <w:rsid w:val="00D749C5"/>
    <w:rsid w:val="00DA2439"/>
    <w:rsid w:val="00FB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chartTrackingRefBased/>
  <w15:docId w15:val="{B7101F48-8631-4D44-9085-0957F077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93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876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5937"/>
    <w:pPr>
      <w:tabs>
        <w:tab w:val="center" w:pos="4320"/>
        <w:tab w:val="right" w:pos="8640"/>
      </w:tabs>
    </w:pPr>
    <w:rPr>
      <w:sz w:val="24"/>
    </w:rPr>
  </w:style>
  <w:style w:type="character" w:customStyle="1" w:styleId="HeaderChar">
    <w:name w:val="Header Char"/>
    <w:basedOn w:val="DefaultParagraphFont"/>
    <w:link w:val="Header"/>
    <w:rsid w:val="004D5937"/>
    <w:rPr>
      <w:rFonts w:ascii="Times New Roman" w:eastAsia="Times New Roman" w:hAnsi="Times New Roman" w:cs="Times New Roman"/>
      <w:sz w:val="24"/>
      <w:szCs w:val="20"/>
    </w:rPr>
  </w:style>
  <w:style w:type="paragraph" w:styleId="Footer">
    <w:name w:val="footer"/>
    <w:basedOn w:val="Normal"/>
    <w:link w:val="FooterChar"/>
    <w:rsid w:val="004D5937"/>
    <w:pPr>
      <w:tabs>
        <w:tab w:val="center" w:pos="4320"/>
        <w:tab w:val="right" w:pos="8640"/>
      </w:tabs>
    </w:pPr>
    <w:rPr>
      <w:sz w:val="24"/>
    </w:rPr>
  </w:style>
  <w:style w:type="character" w:customStyle="1" w:styleId="FooterChar">
    <w:name w:val="Footer Char"/>
    <w:basedOn w:val="DefaultParagraphFont"/>
    <w:link w:val="Footer"/>
    <w:rsid w:val="004D5937"/>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8763C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E7F36"/>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651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53944">
      <w:bodyDiv w:val="1"/>
      <w:marLeft w:val="0"/>
      <w:marRight w:val="0"/>
      <w:marTop w:val="0"/>
      <w:marBottom w:val="0"/>
      <w:divBdr>
        <w:top w:val="none" w:sz="0" w:space="0" w:color="auto"/>
        <w:left w:val="none" w:sz="0" w:space="0" w:color="auto"/>
        <w:bottom w:val="none" w:sz="0" w:space="0" w:color="auto"/>
        <w:right w:val="none" w:sz="0" w:space="0" w:color="auto"/>
      </w:divBdr>
    </w:div>
    <w:div w:id="1329791312">
      <w:bodyDiv w:val="1"/>
      <w:marLeft w:val="0"/>
      <w:marRight w:val="0"/>
      <w:marTop w:val="0"/>
      <w:marBottom w:val="0"/>
      <w:divBdr>
        <w:top w:val="none" w:sz="0" w:space="0" w:color="auto"/>
        <w:left w:val="none" w:sz="0" w:space="0" w:color="auto"/>
        <w:bottom w:val="none" w:sz="0" w:space="0" w:color="auto"/>
        <w:right w:val="none" w:sz="0" w:space="0" w:color="auto"/>
      </w:divBdr>
    </w:div>
    <w:div w:id="1338265839">
      <w:bodyDiv w:val="1"/>
      <w:marLeft w:val="0"/>
      <w:marRight w:val="0"/>
      <w:marTop w:val="0"/>
      <w:marBottom w:val="0"/>
      <w:divBdr>
        <w:top w:val="none" w:sz="0" w:space="0" w:color="auto"/>
        <w:left w:val="none" w:sz="0" w:space="0" w:color="auto"/>
        <w:bottom w:val="none" w:sz="0" w:space="0" w:color="auto"/>
        <w:right w:val="none" w:sz="0" w:space="0" w:color="auto"/>
      </w:divBdr>
    </w:div>
    <w:div w:id="20817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 Diogo</dc:creator>
  <cp:keywords/>
  <dc:description/>
  <cp:lastModifiedBy>Reis, Diogo</cp:lastModifiedBy>
  <cp:revision>3</cp:revision>
  <cp:lastPrinted>2016-03-09T23:02:00Z</cp:lastPrinted>
  <dcterms:created xsi:type="dcterms:W3CDTF">2016-03-11T17:54:00Z</dcterms:created>
  <dcterms:modified xsi:type="dcterms:W3CDTF">2016-03-11T17:55:00Z</dcterms:modified>
</cp:coreProperties>
</file>