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bookmarkStart w:id="0" w:name="_GoBack"/>
      <w:bookmarkEnd w:id="0"/>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14047" w:type="dxa"/>
        <w:tblInd w:w="2448" w:type="dxa"/>
        <w:tblLook w:val="0000" w:firstRow="0" w:lastRow="0" w:firstColumn="0" w:lastColumn="0" w:noHBand="0" w:noVBand="0"/>
      </w:tblPr>
      <w:tblGrid>
        <w:gridCol w:w="7020"/>
        <w:gridCol w:w="7027"/>
      </w:tblGrid>
      <w:tr w:rsidR="00BA2F85" w:rsidTr="00BA2F85">
        <w:tc>
          <w:tcPr>
            <w:tcW w:w="7020" w:type="dxa"/>
          </w:tcPr>
          <w:p w:rsidR="00BA2F85" w:rsidRDefault="00BA2F85" w:rsidP="00B87C9E">
            <w:pPr>
              <w:tabs>
                <w:tab w:val="left" w:pos="0"/>
                <w:tab w:val="left" w:pos="1980"/>
                <w:tab w:val="left" w:pos="2340"/>
                <w:tab w:val="left" w:pos="2700"/>
                <w:tab w:val="left" w:pos="3060"/>
              </w:tabs>
              <w:spacing w:before="100" w:beforeAutospacing="1" w:after="0"/>
              <w:ind w:right="360"/>
              <w:jc w:val="center"/>
              <w:rPr>
                <w:sz w:val="40"/>
              </w:rPr>
            </w:pPr>
            <w:r>
              <w:rPr>
                <w:sz w:val="40"/>
              </w:rPr>
              <w:t>Senate File 3656-2</w:t>
            </w:r>
          </w:p>
        </w:tc>
        <w:tc>
          <w:tcPr>
            <w:tcW w:w="7027" w:type="dxa"/>
          </w:tcPr>
          <w:p w:rsidR="00BA2F85" w:rsidRDefault="00BA2F85" w:rsidP="00B87C9E">
            <w:pPr>
              <w:tabs>
                <w:tab w:val="left" w:pos="0"/>
                <w:tab w:val="left" w:pos="1980"/>
                <w:tab w:val="left" w:pos="2340"/>
                <w:tab w:val="left" w:pos="2700"/>
                <w:tab w:val="left" w:pos="3060"/>
              </w:tabs>
              <w:spacing w:before="100" w:beforeAutospacing="1" w:after="0"/>
              <w:ind w:right="360"/>
              <w:jc w:val="center"/>
              <w:rPr>
                <w:sz w:val="40"/>
              </w:rPr>
            </w:pPr>
            <w:r>
              <w:rPr>
                <w:sz w:val="40"/>
              </w:rPr>
              <w:t>House File 3138-3</w:t>
            </w:r>
          </w:p>
        </w:tc>
      </w:tr>
      <w:tr w:rsidR="00BA2F85" w:rsidTr="00BA2F85">
        <w:tc>
          <w:tcPr>
            <w:tcW w:w="7020" w:type="dxa"/>
          </w:tcPr>
          <w:p w:rsidR="00BA2F85" w:rsidRDefault="00BA2F85" w:rsidP="00B87C9E">
            <w:pPr>
              <w:tabs>
                <w:tab w:val="left" w:pos="0"/>
                <w:tab w:val="left" w:pos="1980"/>
                <w:tab w:val="left" w:pos="2340"/>
                <w:tab w:val="left" w:pos="2700"/>
                <w:tab w:val="left" w:pos="3060"/>
              </w:tabs>
              <w:spacing w:after="100" w:afterAutospacing="1"/>
              <w:ind w:right="360"/>
              <w:jc w:val="center"/>
              <w:rPr>
                <w:sz w:val="48"/>
              </w:rPr>
            </w:pPr>
            <w:r>
              <w:rPr>
                <w:sz w:val="48"/>
              </w:rPr>
              <w:t>House-only Article</w:t>
            </w:r>
          </w:p>
        </w:tc>
        <w:tc>
          <w:tcPr>
            <w:tcW w:w="7027" w:type="dxa"/>
          </w:tcPr>
          <w:p w:rsidR="00BA2F85" w:rsidRDefault="00BA2F85" w:rsidP="00B87C9E">
            <w:pPr>
              <w:tabs>
                <w:tab w:val="left" w:pos="0"/>
                <w:tab w:val="left" w:pos="1980"/>
                <w:tab w:val="left" w:pos="2340"/>
                <w:tab w:val="left" w:pos="2700"/>
                <w:tab w:val="left" w:pos="3060"/>
              </w:tabs>
              <w:spacing w:after="100" w:afterAutospacing="1"/>
              <w:ind w:right="360"/>
              <w:jc w:val="center"/>
              <w:rPr>
                <w:sz w:val="48"/>
              </w:rPr>
            </w:pPr>
            <w:r>
              <w:rPr>
                <w:sz w:val="48"/>
              </w:rPr>
              <w:t>Article 9: Miscellaneous</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C3654D" w:rsidP="008D0C57">
      <w:pPr>
        <w:jc w:val="center"/>
      </w:pPr>
      <w:r>
        <w:t xml:space="preserve">May </w:t>
      </w:r>
      <w:r w:rsidR="0050458C">
        <w:t>7</w:t>
      </w:r>
      <w:r>
        <w:t>, 2018</w:t>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F77BFA" w:rsidRPr="0022436D" w:rsidTr="00F77BFA">
        <w:trPr>
          <w:tblHeader/>
          <w:jc w:val="center"/>
        </w:trPr>
        <w:tc>
          <w:tcPr>
            <w:tcW w:w="6210" w:type="dxa"/>
            <w:tcBorders>
              <w:bottom w:val="single" w:sz="4" w:space="0" w:color="auto"/>
            </w:tcBorders>
            <w:shd w:val="clear" w:color="auto" w:fill="CCCCCC"/>
            <w:vAlign w:val="center"/>
          </w:tcPr>
          <w:p w:rsidR="00F77BFA" w:rsidRPr="0022436D" w:rsidRDefault="00F77BFA" w:rsidP="00D355C2">
            <w:pPr>
              <w:pStyle w:val="Heading1"/>
              <w:spacing w:before="120" w:after="120"/>
              <w:jc w:val="center"/>
              <w:rPr>
                <w:sz w:val="24"/>
                <w:szCs w:val="24"/>
              </w:rPr>
            </w:pPr>
          </w:p>
        </w:tc>
        <w:tc>
          <w:tcPr>
            <w:tcW w:w="5760" w:type="dxa"/>
            <w:tcBorders>
              <w:bottom w:val="single" w:sz="4" w:space="0" w:color="auto"/>
            </w:tcBorders>
            <w:shd w:val="clear" w:color="auto" w:fill="CCCCCC"/>
            <w:vAlign w:val="center"/>
          </w:tcPr>
          <w:p w:rsidR="00F77BFA" w:rsidRPr="0022436D" w:rsidRDefault="00F77BFA" w:rsidP="00D355C2">
            <w:pPr>
              <w:pStyle w:val="Sectionnumber"/>
              <w:numPr>
                <w:ilvl w:val="0"/>
                <w:numId w:val="0"/>
              </w:numPr>
              <w:spacing w:before="120" w:beforeAutospacing="0" w:after="120" w:afterAutospacing="0"/>
              <w:rPr>
                <w:bCs/>
                <w:szCs w:val="24"/>
              </w:rPr>
            </w:pPr>
          </w:p>
        </w:tc>
        <w:tc>
          <w:tcPr>
            <w:tcW w:w="6102" w:type="dxa"/>
            <w:tcBorders>
              <w:bottom w:val="single" w:sz="4" w:space="0" w:color="auto"/>
            </w:tcBorders>
            <w:shd w:val="clear" w:color="auto" w:fill="CCCCCC"/>
            <w:vAlign w:val="center"/>
          </w:tcPr>
          <w:p w:rsidR="00F77BFA" w:rsidRPr="0022436D" w:rsidRDefault="00F77BFA" w:rsidP="001A1E5C">
            <w:pPr>
              <w:pStyle w:val="Sectionnumber"/>
              <w:numPr>
                <w:ilvl w:val="0"/>
                <w:numId w:val="0"/>
              </w:numPr>
              <w:spacing w:before="120" w:beforeAutospacing="0" w:after="120" w:afterAutospacing="0"/>
              <w:jc w:val="center"/>
              <w:rPr>
                <w:bCs/>
                <w:szCs w:val="24"/>
              </w:rPr>
            </w:pPr>
            <w:r>
              <w:rPr>
                <w:bCs/>
                <w:szCs w:val="24"/>
              </w:rPr>
              <w:t>Article 9: Miscellaneous</w:t>
            </w:r>
          </w:p>
        </w:tc>
      </w:tr>
      <w:tr w:rsidR="00F77BFA" w:rsidRPr="0022436D" w:rsidTr="00F77BFA">
        <w:trPr>
          <w:jc w:val="center"/>
        </w:trPr>
        <w:tc>
          <w:tcPr>
            <w:tcW w:w="6210" w:type="dxa"/>
            <w:shd w:val="clear" w:color="auto" w:fill="auto"/>
          </w:tcPr>
          <w:p w:rsidR="00F77BFA" w:rsidRPr="0022436D" w:rsidRDefault="00F77BFA" w:rsidP="00DA5F66">
            <w:pPr>
              <w:pStyle w:val="Heading1"/>
              <w:spacing w:before="100" w:beforeAutospacing="1" w:after="100" w:afterAutospacing="1"/>
              <w:rPr>
                <w:sz w:val="24"/>
                <w:szCs w:val="24"/>
              </w:rPr>
            </w:pPr>
          </w:p>
        </w:tc>
        <w:tc>
          <w:tcPr>
            <w:tcW w:w="5760" w:type="dxa"/>
            <w:shd w:val="clear" w:color="auto" w:fill="auto"/>
          </w:tcPr>
          <w:p w:rsidR="00F77BFA" w:rsidRDefault="00F77BFA" w:rsidP="00DA5F66">
            <w:pPr>
              <w:pStyle w:val="Sectionnumber"/>
              <w:numPr>
                <w:ilvl w:val="0"/>
                <w:numId w:val="0"/>
              </w:numPr>
              <w:rPr>
                <w:b w:val="0"/>
                <w:bCs/>
                <w:szCs w:val="24"/>
              </w:rPr>
            </w:pPr>
            <w:r w:rsidRPr="001A1E5C">
              <w:rPr>
                <w:b w:val="0"/>
                <w:bCs/>
                <w:szCs w:val="24"/>
              </w:rPr>
              <w:t>House only</w:t>
            </w:r>
          </w:p>
          <w:p w:rsidR="0050458C" w:rsidRPr="001A1E5C" w:rsidRDefault="0050458C" w:rsidP="0050458C">
            <w:pPr>
              <w:pStyle w:val="Sectionnumber"/>
              <w:numPr>
                <w:ilvl w:val="0"/>
                <w:numId w:val="0"/>
              </w:numPr>
              <w:rPr>
                <w:b w:val="0"/>
                <w:bCs/>
                <w:szCs w:val="24"/>
              </w:rPr>
            </w:pPr>
            <w:r>
              <w:rPr>
                <w:b w:val="0"/>
                <w:bCs/>
                <w:szCs w:val="24"/>
              </w:rPr>
              <w:t>Senate language is in HF 4385UE, article 6, section 1-identical to House section 1</w:t>
            </w:r>
          </w:p>
        </w:tc>
        <w:tc>
          <w:tcPr>
            <w:tcW w:w="6102" w:type="dxa"/>
            <w:shd w:val="clear" w:color="auto" w:fill="auto"/>
          </w:tcPr>
          <w:p w:rsidR="00F77BFA" w:rsidRPr="005022E5" w:rsidRDefault="00F77BFA" w:rsidP="00DA5F66">
            <w:pPr>
              <w:pStyle w:val="Sectionnumber"/>
              <w:numPr>
                <w:ilvl w:val="0"/>
                <w:numId w:val="0"/>
              </w:numPr>
              <w:spacing w:before="0" w:beforeAutospacing="0" w:after="120" w:afterAutospacing="0"/>
              <w:rPr>
                <w:b w:val="0"/>
              </w:rPr>
            </w:pPr>
            <w:r>
              <w:rPr>
                <w:bCs/>
              </w:rPr>
              <w:t xml:space="preserve">Section 1. </w:t>
            </w:r>
            <w:r w:rsidRPr="005022E5">
              <w:rPr>
                <w:bCs/>
              </w:rPr>
              <w:t>Operations funding.</w:t>
            </w:r>
            <w:r w:rsidRPr="005022E5">
              <w:rPr>
                <w:b w:val="0"/>
                <w:bCs/>
              </w:rPr>
              <w:t xml:space="preserve">  Amends § 62V.05, subd. 2. Permits MNsure t</w:t>
            </w:r>
            <w:r>
              <w:rPr>
                <w:b w:val="0"/>
                <w:bCs/>
              </w:rPr>
              <w:t>o continue to collect up to 3.5 percent</w:t>
            </w:r>
            <w:r w:rsidRPr="005022E5">
              <w:rPr>
                <w:b w:val="0"/>
                <w:bCs/>
              </w:rPr>
              <w:t xml:space="preserve"> of premiums for plans sold through MNsure to fund the operation of MNsure, through December 31, 2018. Beginning January 1, 2019, lowers the</w:t>
            </w:r>
            <w:r>
              <w:rPr>
                <w:b w:val="0"/>
                <w:bCs/>
              </w:rPr>
              <w:t xml:space="preserve"> amount MNsure may collect to 2 percent</w:t>
            </w:r>
            <w:r w:rsidRPr="005022E5">
              <w:rPr>
                <w:b w:val="0"/>
                <w:bCs/>
              </w:rPr>
              <w:t xml:space="preserve"> of premiums for plans sold through MNsure, and caps the total amount collected per year at 25</w:t>
            </w:r>
            <w:r>
              <w:rPr>
                <w:b w:val="0"/>
                <w:bCs/>
              </w:rPr>
              <w:t xml:space="preserve"> percent</w:t>
            </w:r>
            <w:r w:rsidRPr="005022E5">
              <w:rPr>
                <w:b w:val="0"/>
                <w:bCs/>
              </w:rPr>
              <w:t xml:space="preserve"> of the Minnesota Comprehensive Health Association (MCHA) member assessments collected in calendar year 2012.</w:t>
            </w:r>
            <w:r>
              <w:rPr>
                <w:b w:val="0"/>
                <w:bCs/>
              </w:rPr>
              <w:t xml:space="preserve"> Prohibits interagency agreements between MNsure and DHS and the public cost allocation plan from being modified to reflect the percent of premiums MNsure can retain.</w:t>
            </w:r>
          </w:p>
        </w:tc>
      </w:tr>
      <w:tr w:rsidR="00F77BFA" w:rsidRPr="0022436D" w:rsidTr="00F77BFA">
        <w:trPr>
          <w:jc w:val="center"/>
        </w:trPr>
        <w:tc>
          <w:tcPr>
            <w:tcW w:w="6210" w:type="dxa"/>
            <w:shd w:val="clear" w:color="auto" w:fill="auto"/>
          </w:tcPr>
          <w:p w:rsidR="00F77BFA" w:rsidRPr="0022436D" w:rsidRDefault="00F77BFA" w:rsidP="00DA5F66">
            <w:pPr>
              <w:pStyle w:val="Heading1"/>
              <w:spacing w:before="100" w:beforeAutospacing="1" w:after="100" w:afterAutospacing="1"/>
              <w:rPr>
                <w:sz w:val="24"/>
                <w:szCs w:val="24"/>
              </w:rPr>
            </w:pPr>
          </w:p>
        </w:tc>
        <w:tc>
          <w:tcPr>
            <w:tcW w:w="5760" w:type="dxa"/>
            <w:shd w:val="clear" w:color="auto" w:fill="auto"/>
          </w:tcPr>
          <w:p w:rsidR="00F77BFA" w:rsidRDefault="00F77BFA" w:rsidP="00DA5F66">
            <w:pPr>
              <w:rPr>
                <w:bCs/>
                <w:szCs w:val="24"/>
              </w:rPr>
            </w:pPr>
            <w:r w:rsidRPr="001A1E5C">
              <w:rPr>
                <w:bCs/>
                <w:szCs w:val="24"/>
              </w:rPr>
              <w:t>House only</w:t>
            </w:r>
          </w:p>
          <w:p w:rsidR="0050458C" w:rsidRPr="001A1E5C" w:rsidRDefault="0050458C" w:rsidP="00DA5F66">
            <w:r>
              <w:rPr>
                <w:bCs/>
                <w:szCs w:val="24"/>
              </w:rPr>
              <w:t>Senate language is in HF 4385UE, article 6, section 2- identical to House section 2</w:t>
            </w:r>
          </w:p>
        </w:tc>
        <w:tc>
          <w:tcPr>
            <w:tcW w:w="6102" w:type="dxa"/>
            <w:shd w:val="clear" w:color="auto" w:fill="auto"/>
          </w:tcPr>
          <w:p w:rsidR="00F77BFA" w:rsidRPr="005022E5" w:rsidRDefault="00F77BFA" w:rsidP="00DA5F66">
            <w:pPr>
              <w:pStyle w:val="Sectionnumber"/>
              <w:numPr>
                <w:ilvl w:val="0"/>
                <w:numId w:val="0"/>
              </w:numPr>
              <w:spacing w:before="0" w:beforeAutospacing="0" w:after="120" w:afterAutospacing="0"/>
              <w:rPr>
                <w:bCs/>
              </w:rPr>
            </w:pPr>
            <w:r>
              <w:rPr>
                <w:bCs/>
              </w:rPr>
              <w:t xml:space="preserve">Section 2. Health carrier and health plan requirements; participation. </w:t>
            </w:r>
            <w:r>
              <w:rPr>
                <w:b w:val="0"/>
                <w:bCs/>
              </w:rPr>
              <w:t xml:space="preserve"> Amends § 62V.05, subd. 5. Provides that a health plan that meets the minimum requirements in state and federal law for certification as a qualified health plan, is deemed to be in the interests of qualified individuals and employers. Strikes language listing elements the MNsure board may consider when determining the interests of qualified individuals and employers for purposes of certifying qualified health plans, and prohibits the MNsure board from establishing additional requirements for certifying health carriers and health plans to be offered through MNsure. Also prohibits the board from establishing costs, cost-sharing elements, or benefits for health plans sold through MNsure. Updates references to federal law and strikes outdated language.</w:t>
            </w:r>
          </w:p>
        </w:tc>
      </w:tr>
      <w:tr w:rsidR="00F77BFA" w:rsidRPr="0022436D" w:rsidTr="00F77BFA">
        <w:trPr>
          <w:jc w:val="center"/>
        </w:trPr>
        <w:tc>
          <w:tcPr>
            <w:tcW w:w="6210" w:type="dxa"/>
            <w:shd w:val="clear" w:color="auto" w:fill="auto"/>
          </w:tcPr>
          <w:p w:rsidR="00F77BFA" w:rsidRPr="0022436D" w:rsidRDefault="00F77BFA" w:rsidP="00DA5F66">
            <w:pPr>
              <w:pStyle w:val="Heading1"/>
              <w:spacing w:before="100" w:beforeAutospacing="1" w:after="100" w:afterAutospacing="1"/>
              <w:rPr>
                <w:sz w:val="24"/>
                <w:szCs w:val="24"/>
              </w:rPr>
            </w:pPr>
          </w:p>
        </w:tc>
        <w:tc>
          <w:tcPr>
            <w:tcW w:w="5760" w:type="dxa"/>
            <w:shd w:val="clear" w:color="auto" w:fill="auto"/>
          </w:tcPr>
          <w:p w:rsidR="00F77BFA" w:rsidRDefault="00F77BFA" w:rsidP="00DA5F66">
            <w:pPr>
              <w:rPr>
                <w:bCs/>
                <w:szCs w:val="24"/>
              </w:rPr>
            </w:pPr>
            <w:r w:rsidRPr="001A1E5C">
              <w:rPr>
                <w:bCs/>
                <w:szCs w:val="24"/>
              </w:rPr>
              <w:t>House only</w:t>
            </w:r>
          </w:p>
          <w:p w:rsidR="0050458C" w:rsidRPr="001A1E5C" w:rsidRDefault="0050458C" w:rsidP="00DA5F66">
            <w:r>
              <w:rPr>
                <w:bCs/>
                <w:szCs w:val="24"/>
              </w:rPr>
              <w:t>Senate language is in HF 4385UE, article 6, section 3-identical to House section 3</w:t>
            </w:r>
          </w:p>
        </w:tc>
        <w:tc>
          <w:tcPr>
            <w:tcW w:w="6102" w:type="dxa"/>
            <w:shd w:val="clear" w:color="auto" w:fill="auto"/>
          </w:tcPr>
          <w:p w:rsidR="00F77BFA" w:rsidRDefault="00F77BFA" w:rsidP="00DA5F66">
            <w:pPr>
              <w:pStyle w:val="Sectionnumber"/>
              <w:numPr>
                <w:ilvl w:val="0"/>
                <w:numId w:val="0"/>
              </w:numPr>
              <w:spacing w:before="0" w:beforeAutospacing="0" w:after="120" w:afterAutospacing="0"/>
              <w:rPr>
                <w:bCs/>
              </w:rPr>
            </w:pPr>
            <w:r>
              <w:rPr>
                <w:bCs/>
              </w:rPr>
              <w:t xml:space="preserve">Section 3. Limitations; risk-bearing. </w:t>
            </w:r>
            <w:r>
              <w:rPr>
                <w:b w:val="0"/>
                <w:bCs/>
              </w:rPr>
              <w:t xml:space="preserve"> Amends § 62V.05, subd. 10. Prohibits the commissioner of human services from bearing insurance risk or entering into any agreement to pay claims for health coverage for a state health care program available for purchase through the MNsure Web site, as an alternative to purchasing an individual health plan. Specifies that this subdivision does not prohibit the commissioner from administering MA or MinnesotaCare, as long as health coverage under MA or MinnesotaCare is not purchased by an individual through MNsure’s Web site. Also provides that this subdivision does not prohibit employees of DHS from obtaining insurance coverage through the state employee group insurance program.</w:t>
            </w:r>
          </w:p>
        </w:tc>
      </w:tr>
      <w:tr w:rsidR="00F77BFA" w:rsidRPr="0022436D" w:rsidTr="00F77BFA">
        <w:trPr>
          <w:jc w:val="center"/>
        </w:trPr>
        <w:tc>
          <w:tcPr>
            <w:tcW w:w="6210" w:type="dxa"/>
            <w:shd w:val="clear" w:color="auto" w:fill="auto"/>
          </w:tcPr>
          <w:p w:rsidR="00F77BFA" w:rsidRPr="0022436D" w:rsidRDefault="00F77BFA" w:rsidP="00DA5F66">
            <w:pPr>
              <w:pStyle w:val="Heading1"/>
              <w:spacing w:before="100" w:beforeAutospacing="1" w:after="100" w:afterAutospacing="1"/>
              <w:rPr>
                <w:sz w:val="24"/>
                <w:szCs w:val="24"/>
              </w:rPr>
            </w:pPr>
          </w:p>
        </w:tc>
        <w:tc>
          <w:tcPr>
            <w:tcW w:w="5760" w:type="dxa"/>
            <w:shd w:val="clear" w:color="auto" w:fill="auto"/>
          </w:tcPr>
          <w:p w:rsidR="00F77BFA" w:rsidRPr="001A1E5C" w:rsidRDefault="00F77BFA" w:rsidP="00DA5F66">
            <w:r w:rsidRPr="001A1E5C">
              <w:rPr>
                <w:bCs/>
                <w:szCs w:val="24"/>
              </w:rPr>
              <w:t>House only</w:t>
            </w:r>
          </w:p>
        </w:tc>
        <w:tc>
          <w:tcPr>
            <w:tcW w:w="6102" w:type="dxa"/>
            <w:shd w:val="clear" w:color="auto" w:fill="auto"/>
          </w:tcPr>
          <w:p w:rsidR="00F77BFA" w:rsidRPr="005022E5" w:rsidRDefault="00F77BFA" w:rsidP="00DA5F66">
            <w:pPr>
              <w:pStyle w:val="Sectionnumber"/>
              <w:numPr>
                <w:ilvl w:val="0"/>
                <w:numId w:val="0"/>
              </w:numPr>
              <w:spacing w:before="0" w:beforeAutospacing="0" w:after="120" w:afterAutospacing="0"/>
              <w:rPr>
                <w:b w:val="0"/>
                <w:bCs/>
              </w:rPr>
            </w:pPr>
            <w:r>
              <w:rPr>
                <w:bCs/>
              </w:rPr>
              <w:t>Section 4. Definitions.</w:t>
            </w:r>
            <w:r>
              <w:rPr>
                <w:b w:val="0"/>
                <w:bCs/>
              </w:rPr>
              <w:t xml:space="preserve"> Amends § 169.345, subd. 2. A</w:t>
            </w:r>
            <w:r w:rsidRPr="005022E5">
              <w:rPr>
                <w:b w:val="0"/>
                <w:bCs/>
              </w:rPr>
              <w:t>uthorizes licensed physical therapists to provide a medical statement used to obtain a disability parking permit or disability plates.</w:t>
            </w:r>
          </w:p>
        </w:tc>
      </w:tr>
      <w:tr w:rsidR="00F77BFA" w:rsidRPr="0022436D" w:rsidTr="00F77BFA">
        <w:trPr>
          <w:jc w:val="center"/>
        </w:trPr>
        <w:tc>
          <w:tcPr>
            <w:tcW w:w="6210" w:type="dxa"/>
            <w:shd w:val="clear" w:color="auto" w:fill="auto"/>
          </w:tcPr>
          <w:p w:rsidR="00F77BFA" w:rsidRPr="0022436D" w:rsidRDefault="00F77BFA" w:rsidP="00DA5F66">
            <w:pPr>
              <w:pStyle w:val="Heading1"/>
              <w:spacing w:before="100" w:beforeAutospacing="1" w:after="100" w:afterAutospacing="1"/>
              <w:rPr>
                <w:sz w:val="24"/>
                <w:szCs w:val="24"/>
              </w:rPr>
            </w:pPr>
          </w:p>
        </w:tc>
        <w:tc>
          <w:tcPr>
            <w:tcW w:w="5760" w:type="dxa"/>
            <w:shd w:val="clear" w:color="auto" w:fill="auto"/>
          </w:tcPr>
          <w:p w:rsidR="00F77BFA" w:rsidRPr="001A1E5C" w:rsidRDefault="00F77BFA" w:rsidP="00DA5F66">
            <w:r w:rsidRPr="001A1E5C">
              <w:rPr>
                <w:bCs/>
                <w:szCs w:val="24"/>
              </w:rPr>
              <w:t>House only</w:t>
            </w:r>
          </w:p>
        </w:tc>
        <w:tc>
          <w:tcPr>
            <w:tcW w:w="6102" w:type="dxa"/>
            <w:shd w:val="clear" w:color="auto" w:fill="auto"/>
          </w:tcPr>
          <w:p w:rsidR="00F77BFA" w:rsidRPr="005022E5" w:rsidRDefault="00F77BFA" w:rsidP="00DA5F66">
            <w:r w:rsidRPr="00C5739F">
              <w:rPr>
                <w:b/>
                <w:bCs/>
              </w:rPr>
              <w:t xml:space="preserve">Section </w:t>
            </w:r>
            <w:r w:rsidR="00C5739F" w:rsidRPr="00C5739F">
              <w:rPr>
                <w:b/>
                <w:bCs/>
              </w:rPr>
              <w:t>5.</w:t>
            </w:r>
            <w:r w:rsidR="00C5739F">
              <w:rPr>
                <w:bCs/>
              </w:rPr>
              <w:t xml:space="preserve"> </w:t>
            </w:r>
            <w:r>
              <w:rPr>
                <w:b/>
              </w:rPr>
              <w:t>Health care facility; notice of status.</w:t>
            </w:r>
            <w:r>
              <w:t xml:space="preserve"> Amends § 243.166, subd. 4b. Amends the predatory offender registration statute, to require that the predatory offender notice of status required in this subdivision be provided to licensed home care providers in the same manner that health care facilities receive notice. Home care providers will be required to distribute a fact sheet with a risk level classification to any individual who will provide direct services to the offender, before beginning to provide services.</w:t>
            </w:r>
          </w:p>
        </w:tc>
      </w:tr>
    </w:tbl>
    <w:p w:rsidR="00791AE1" w:rsidRDefault="00791AE1">
      <w:r>
        <w:rPr>
          <w:b/>
          <w:bCs/>
        </w:rP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791AE1" w:rsidRPr="0022436D" w:rsidTr="007C58E2">
        <w:trPr>
          <w:tblHeader/>
          <w:jc w:val="center"/>
        </w:trPr>
        <w:tc>
          <w:tcPr>
            <w:tcW w:w="6210" w:type="dxa"/>
            <w:tcBorders>
              <w:bottom w:val="single" w:sz="4" w:space="0" w:color="auto"/>
            </w:tcBorders>
            <w:shd w:val="clear" w:color="auto" w:fill="CCCCCC"/>
            <w:vAlign w:val="center"/>
          </w:tcPr>
          <w:p w:rsidR="00791AE1" w:rsidRPr="0022436D" w:rsidRDefault="00791AE1" w:rsidP="007C58E2">
            <w:pPr>
              <w:pStyle w:val="Heading1"/>
              <w:spacing w:before="120" w:after="120"/>
              <w:jc w:val="center"/>
              <w:rPr>
                <w:sz w:val="24"/>
                <w:szCs w:val="24"/>
              </w:rPr>
            </w:pPr>
          </w:p>
        </w:tc>
        <w:tc>
          <w:tcPr>
            <w:tcW w:w="5760" w:type="dxa"/>
            <w:tcBorders>
              <w:bottom w:val="single" w:sz="4" w:space="0" w:color="auto"/>
            </w:tcBorders>
            <w:shd w:val="clear" w:color="auto" w:fill="CCCCCC"/>
            <w:vAlign w:val="center"/>
          </w:tcPr>
          <w:p w:rsidR="00791AE1" w:rsidRPr="0022436D" w:rsidRDefault="00791AE1" w:rsidP="007C58E2">
            <w:pPr>
              <w:pStyle w:val="Sectionnumber"/>
              <w:numPr>
                <w:ilvl w:val="0"/>
                <w:numId w:val="0"/>
              </w:numPr>
              <w:spacing w:before="120" w:beforeAutospacing="0" w:after="120" w:afterAutospacing="0"/>
              <w:rPr>
                <w:bCs/>
                <w:szCs w:val="24"/>
              </w:rPr>
            </w:pPr>
          </w:p>
        </w:tc>
        <w:tc>
          <w:tcPr>
            <w:tcW w:w="6102" w:type="dxa"/>
            <w:tcBorders>
              <w:bottom w:val="single" w:sz="4" w:space="0" w:color="auto"/>
            </w:tcBorders>
            <w:shd w:val="clear" w:color="auto" w:fill="CCCCCC"/>
            <w:vAlign w:val="center"/>
          </w:tcPr>
          <w:p w:rsidR="00791AE1" w:rsidRPr="0022436D" w:rsidRDefault="00791AE1" w:rsidP="007C58E2">
            <w:pPr>
              <w:pStyle w:val="Sectionnumber"/>
              <w:numPr>
                <w:ilvl w:val="0"/>
                <w:numId w:val="0"/>
              </w:numPr>
              <w:spacing w:before="120" w:beforeAutospacing="0" w:after="120" w:afterAutospacing="0"/>
              <w:jc w:val="center"/>
              <w:rPr>
                <w:bCs/>
                <w:szCs w:val="24"/>
              </w:rPr>
            </w:pPr>
            <w:r>
              <w:rPr>
                <w:bCs/>
                <w:szCs w:val="24"/>
              </w:rPr>
              <w:t>Article 9: Miscellaneous</w:t>
            </w:r>
          </w:p>
        </w:tc>
      </w:tr>
      <w:tr w:rsidR="00F77BFA" w:rsidRPr="0022436D" w:rsidTr="00F77BFA">
        <w:trPr>
          <w:jc w:val="center"/>
        </w:trPr>
        <w:tc>
          <w:tcPr>
            <w:tcW w:w="6210" w:type="dxa"/>
            <w:shd w:val="clear" w:color="auto" w:fill="auto"/>
          </w:tcPr>
          <w:p w:rsidR="00F77BFA" w:rsidRPr="0022436D" w:rsidRDefault="00F77BFA" w:rsidP="00791AE1">
            <w:pPr>
              <w:pStyle w:val="Heading1"/>
              <w:keepNext w:val="0"/>
              <w:spacing w:before="100" w:beforeAutospacing="1" w:after="100" w:afterAutospacing="1"/>
              <w:rPr>
                <w:sz w:val="24"/>
                <w:szCs w:val="24"/>
              </w:rPr>
            </w:pPr>
          </w:p>
        </w:tc>
        <w:tc>
          <w:tcPr>
            <w:tcW w:w="5760" w:type="dxa"/>
            <w:shd w:val="clear" w:color="auto" w:fill="auto"/>
          </w:tcPr>
          <w:p w:rsidR="00B87C9E" w:rsidRPr="001A1E5C" w:rsidRDefault="00B87C9E" w:rsidP="00791AE1">
            <w:r>
              <w:rPr>
                <w:bCs/>
                <w:szCs w:val="24"/>
              </w:rPr>
              <w:t>See Senate article 28 comparison</w:t>
            </w:r>
          </w:p>
        </w:tc>
        <w:tc>
          <w:tcPr>
            <w:tcW w:w="6102" w:type="dxa"/>
            <w:shd w:val="clear" w:color="auto" w:fill="auto"/>
          </w:tcPr>
          <w:p w:rsidR="00F77BFA" w:rsidRDefault="00C5739F" w:rsidP="00791AE1">
            <w:pPr>
              <w:pStyle w:val="Sectionnumber"/>
              <w:numPr>
                <w:ilvl w:val="0"/>
                <w:numId w:val="0"/>
              </w:numPr>
              <w:spacing w:before="0" w:beforeAutospacing="0" w:after="120" w:afterAutospacing="0"/>
              <w:rPr>
                <w:b w:val="0"/>
                <w:bCs/>
              </w:rPr>
            </w:pPr>
            <w:r>
              <w:rPr>
                <w:bCs/>
              </w:rPr>
              <w:t xml:space="preserve">Section 6. </w:t>
            </w:r>
            <w:r w:rsidR="00F77BFA">
              <w:rPr>
                <w:bCs/>
              </w:rPr>
              <w:t xml:space="preserve">Human Services Department Restructuring Working Group.  </w:t>
            </w:r>
          </w:p>
          <w:p w:rsidR="00F77BFA" w:rsidRDefault="00F77BFA" w:rsidP="00791AE1">
            <w:pPr>
              <w:pStyle w:val="Sectionnumber"/>
              <w:numPr>
                <w:ilvl w:val="0"/>
                <w:numId w:val="0"/>
              </w:numPr>
              <w:spacing w:before="0" w:beforeAutospacing="0" w:after="120" w:afterAutospacing="0"/>
              <w:rPr>
                <w:bCs/>
              </w:rPr>
            </w:pPr>
          </w:p>
        </w:tc>
      </w:tr>
      <w:tr w:rsidR="00F77BFA" w:rsidRPr="0022436D" w:rsidTr="00F77BFA">
        <w:trPr>
          <w:jc w:val="center"/>
        </w:trPr>
        <w:tc>
          <w:tcPr>
            <w:tcW w:w="6210" w:type="dxa"/>
            <w:shd w:val="clear" w:color="auto" w:fill="auto"/>
          </w:tcPr>
          <w:p w:rsidR="00F77BFA" w:rsidRPr="0022436D" w:rsidRDefault="00F77BFA" w:rsidP="00791AE1">
            <w:pPr>
              <w:pStyle w:val="Heading1"/>
              <w:keepNext w:val="0"/>
              <w:spacing w:before="100" w:beforeAutospacing="1" w:after="100" w:afterAutospacing="1"/>
              <w:rPr>
                <w:sz w:val="24"/>
                <w:szCs w:val="24"/>
              </w:rPr>
            </w:pPr>
          </w:p>
        </w:tc>
        <w:tc>
          <w:tcPr>
            <w:tcW w:w="5760" w:type="dxa"/>
            <w:shd w:val="clear" w:color="auto" w:fill="auto"/>
          </w:tcPr>
          <w:p w:rsidR="00F77BFA" w:rsidRDefault="00F77BFA" w:rsidP="00DA5F66">
            <w:pPr>
              <w:rPr>
                <w:bCs/>
                <w:szCs w:val="24"/>
              </w:rPr>
            </w:pPr>
            <w:r w:rsidRPr="001A1E5C">
              <w:rPr>
                <w:bCs/>
                <w:szCs w:val="24"/>
              </w:rPr>
              <w:t>House only</w:t>
            </w:r>
          </w:p>
          <w:p w:rsidR="0050458C" w:rsidRDefault="0050458C" w:rsidP="00DA5F66">
            <w:pPr>
              <w:rPr>
                <w:bCs/>
                <w:szCs w:val="24"/>
              </w:rPr>
            </w:pPr>
            <w:r>
              <w:rPr>
                <w:bCs/>
                <w:szCs w:val="24"/>
              </w:rPr>
              <w:t>Senate language is in HF 4385UE, article 6, section 11-identical to House section 7, except for effective date:</w:t>
            </w:r>
          </w:p>
          <w:p w:rsidR="0050458C" w:rsidRDefault="0050458C" w:rsidP="00DA5F66">
            <w:pPr>
              <w:rPr>
                <w:bCs/>
                <w:szCs w:val="24"/>
              </w:rPr>
            </w:pPr>
            <w:r>
              <w:rPr>
                <w:bCs/>
                <w:szCs w:val="24"/>
              </w:rPr>
              <w:t>Senate effective day following final enactment</w:t>
            </w:r>
          </w:p>
          <w:p w:rsidR="0050458C" w:rsidRPr="001A1E5C" w:rsidRDefault="0050458C" w:rsidP="00DA5F66">
            <w:r>
              <w:rPr>
                <w:bCs/>
                <w:szCs w:val="24"/>
              </w:rPr>
              <w:t>House effective July 1, 2018</w:t>
            </w:r>
          </w:p>
        </w:tc>
        <w:tc>
          <w:tcPr>
            <w:tcW w:w="6102" w:type="dxa"/>
            <w:shd w:val="clear" w:color="auto" w:fill="auto"/>
          </w:tcPr>
          <w:p w:rsidR="00F77BFA" w:rsidRDefault="00C5739F" w:rsidP="00DA5F66">
            <w:pPr>
              <w:pStyle w:val="Sectionnumber"/>
              <w:numPr>
                <w:ilvl w:val="0"/>
                <w:numId w:val="0"/>
              </w:numPr>
              <w:spacing w:before="0" w:beforeAutospacing="0" w:after="120" w:afterAutospacing="0"/>
              <w:rPr>
                <w:bCs/>
              </w:rPr>
            </w:pPr>
            <w:r>
              <w:rPr>
                <w:bCs/>
              </w:rPr>
              <w:t xml:space="preserve">Section 7. </w:t>
            </w:r>
            <w:r w:rsidR="00F77BFA">
              <w:rPr>
                <w:bCs/>
              </w:rPr>
              <w:t>Rates for individual market health and dental plans for 2019.</w:t>
            </w:r>
            <w:r w:rsidR="00F77BFA">
              <w:rPr>
                <w:b w:val="0"/>
                <w:bCs/>
              </w:rPr>
              <w:t xml:space="preserve"> Requires health carriers, when setting rates for individual health and dental plans for 2019, to take into account the reduction in the premium withhold percentage beginning in 2019 under section 62V.05, subdivision 2.</w:t>
            </w:r>
          </w:p>
        </w:tc>
      </w:tr>
      <w:tr w:rsidR="00F77BFA" w:rsidRPr="0022436D" w:rsidTr="00F77BFA">
        <w:trPr>
          <w:jc w:val="center"/>
        </w:trPr>
        <w:tc>
          <w:tcPr>
            <w:tcW w:w="6210" w:type="dxa"/>
            <w:shd w:val="clear" w:color="auto" w:fill="auto"/>
          </w:tcPr>
          <w:p w:rsidR="00F77BFA" w:rsidRPr="0022436D" w:rsidRDefault="00F77BFA" w:rsidP="00DA5F66">
            <w:pPr>
              <w:pStyle w:val="Heading1"/>
              <w:spacing w:before="100" w:beforeAutospacing="1" w:after="100" w:afterAutospacing="1"/>
              <w:rPr>
                <w:sz w:val="24"/>
                <w:szCs w:val="24"/>
              </w:rPr>
            </w:pPr>
          </w:p>
        </w:tc>
        <w:tc>
          <w:tcPr>
            <w:tcW w:w="5760" w:type="dxa"/>
            <w:shd w:val="clear" w:color="auto" w:fill="auto"/>
          </w:tcPr>
          <w:p w:rsidR="00F77BFA" w:rsidRPr="001A1E5C" w:rsidRDefault="00B87C9E" w:rsidP="00B87C9E">
            <w:r>
              <w:rPr>
                <w:bCs/>
                <w:szCs w:val="24"/>
              </w:rPr>
              <w:t>See Senate article 28 comparison</w:t>
            </w:r>
          </w:p>
        </w:tc>
        <w:tc>
          <w:tcPr>
            <w:tcW w:w="6102" w:type="dxa"/>
            <w:shd w:val="clear" w:color="auto" w:fill="auto"/>
          </w:tcPr>
          <w:p w:rsidR="00B87C9E" w:rsidRPr="00AE52C3" w:rsidRDefault="00C5739F" w:rsidP="00B87C9E">
            <w:pPr>
              <w:pStyle w:val="Sectionnumber"/>
              <w:numPr>
                <w:ilvl w:val="0"/>
                <w:numId w:val="0"/>
              </w:numPr>
              <w:spacing w:before="0" w:beforeAutospacing="0" w:after="120" w:afterAutospacing="0"/>
              <w:rPr>
                <w:b w:val="0"/>
                <w:bCs/>
              </w:rPr>
            </w:pPr>
            <w:r>
              <w:rPr>
                <w:bCs/>
              </w:rPr>
              <w:t xml:space="preserve">Section 8. </w:t>
            </w:r>
            <w:r w:rsidR="00F77BFA">
              <w:rPr>
                <w:bCs/>
              </w:rPr>
              <w:t xml:space="preserve">Commissioner of human services child care licensing rulemaking authority. </w:t>
            </w:r>
          </w:p>
          <w:p w:rsidR="00F77BFA" w:rsidRPr="00AE52C3" w:rsidRDefault="00F77BFA" w:rsidP="00DA5F66">
            <w:pPr>
              <w:pStyle w:val="Sectionnumber"/>
              <w:numPr>
                <w:ilvl w:val="0"/>
                <w:numId w:val="0"/>
              </w:numPr>
              <w:spacing w:before="0" w:beforeAutospacing="0" w:after="120" w:afterAutospacing="0"/>
              <w:rPr>
                <w:b w:val="0"/>
                <w:bCs/>
              </w:rPr>
            </w:pPr>
          </w:p>
        </w:tc>
      </w:tr>
    </w:tbl>
    <w:p w:rsidR="00F417BC" w:rsidRPr="00827C84" w:rsidRDefault="00F417BC" w:rsidP="00EF43DC"/>
    <w:sectPr w:rsidR="00F417BC" w:rsidRPr="00827C84" w:rsidSect="0022436D">
      <w:headerReference w:type="default" r:id="rId8"/>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54D" w:rsidRPr="0022436D" w:rsidRDefault="00C3654D" w:rsidP="0022436D">
      <w:pPr>
        <w:pStyle w:val="Sectionnumber"/>
        <w:spacing w:before="0" w:after="0"/>
        <w:rPr>
          <w:b w:val="0"/>
        </w:rPr>
      </w:pPr>
      <w:r>
        <w:separator/>
      </w:r>
    </w:p>
  </w:endnote>
  <w:endnote w:type="continuationSeparator" w:id="0">
    <w:p w:rsidR="00C3654D" w:rsidRPr="0022436D" w:rsidRDefault="00C3654D"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54D" w:rsidRPr="0022436D" w:rsidRDefault="00C3654D" w:rsidP="0022436D">
      <w:pPr>
        <w:pStyle w:val="Sectionnumber"/>
        <w:spacing w:before="0" w:after="0"/>
        <w:rPr>
          <w:b w:val="0"/>
        </w:rPr>
      </w:pPr>
      <w:r>
        <w:separator/>
      </w:r>
    </w:p>
  </w:footnote>
  <w:footnote w:type="continuationSeparator" w:id="0">
    <w:p w:rsidR="00C3654D" w:rsidRPr="0022436D" w:rsidRDefault="00C3654D"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6D" w:rsidRDefault="0022436D" w:rsidP="0022436D">
    <w:pPr>
      <w:pStyle w:val="Header"/>
      <w:tabs>
        <w:tab w:val="right" w:pos="18720"/>
      </w:tabs>
      <w:rPr>
        <w:sz w:val="20"/>
      </w:rPr>
    </w:pPr>
    <w:r>
      <w:rPr>
        <w:sz w:val="20"/>
      </w:rPr>
      <w:t xml:space="preserve">Bill Summary Comparison of </w:t>
    </w:r>
    <w:r w:rsidR="00B87C9E">
      <w:rPr>
        <w:sz w:val="20"/>
      </w:rPr>
      <w:t>Senate File 3656-2/</w:t>
    </w:r>
    <w:r>
      <w:rPr>
        <w:sz w:val="20"/>
      </w:rPr>
      <w:t>House File</w:t>
    </w:r>
    <w:r w:rsidR="00F7724C" w:rsidRPr="00F7724C">
      <w:rPr>
        <w:sz w:val="20"/>
      </w:rPr>
      <w:t xml:space="preserve"> 3138-3 (House only</w:t>
    </w:r>
    <w:r w:rsidR="00F7724C">
      <w:rPr>
        <w:sz w:val="20"/>
      </w:rPr>
      <w:t xml:space="preserve"> article)</w:t>
    </w:r>
    <w:r w:rsidR="00F7724C" w:rsidRPr="00F7724C">
      <w:rPr>
        <w:sz w:val="20"/>
      </w:rPr>
      <w:t xml:space="preserve"> </w:t>
    </w:r>
    <w:r>
      <w:rPr>
        <w:sz w:val="20"/>
      </w:rPr>
      <w:tab/>
    </w:r>
    <w:r>
      <w:rPr>
        <w:sz w:val="20"/>
      </w:rPr>
      <w:tab/>
    </w:r>
    <w:r w:rsidR="00125680">
      <w:rPr>
        <w:sz w:val="20"/>
      </w:rPr>
      <w:fldChar w:fldCharType="begin"/>
    </w:r>
    <w:r>
      <w:rPr>
        <w:sz w:val="20"/>
      </w:rPr>
      <w:instrText xml:space="preserve"> DATE  \@ "MMMM d, yyyy"  \* MERGEFORMAT </w:instrText>
    </w:r>
    <w:r w:rsidR="00125680">
      <w:rPr>
        <w:sz w:val="20"/>
      </w:rPr>
      <w:fldChar w:fldCharType="separate"/>
    </w:r>
    <w:r w:rsidR="00D007B4">
      <w:rPr>
        <w:noProof/>
        <w:sz w:val="20"/>
      </w:rPr>
      <w:t>May 7, 2018</w:t>
    </w:r>
    <w:r w:rsidR="00125680">
      <w:rPr>
        <w:sz w:val="20"/>
      </w:rPr>
      <w:fldChar w:fldCharType="end"/>
    </w:r>
  </w:p>
  <w:p w:rsidR="0022436D" w:rsidRDefault="0022436D" w:rsidP="0022436D">
    <w:pPr>
      <w:pStyle w:val="Header"/>
      <w:tabs>
        <w:tab w:val="clear" w:pos="4680"/>
        <w:tab w:val="left" w:pos="3600"/>
        <w:tab w:val="right" w:pos="18720"/>
      </w:tabs>
      <w:rPr>
        <w:sz w:val="20"/>
      </w:rPr>
    </w:pPr>
    <w:r>
      <w:rPr>
        <w:sz w:val="20"/>
      </w:rPr>
      <w:tab/>
    </w:r>
    <w:r>
      <w:rPr>
        <w:sz w:val="20"/>
      </w:rPr>
      <w:tab/>
    </w:r>
    <w:r>
      <w:rPr>
        <w:sz w:val="20"/>
      </w:rPr>
      <w:tab/>
      <w:t xml:space="preserve">Page </w:t>
    </w:r>
    <w:r w:rsidR="00125680">
      <w:rPr>
        <w:sz w:val="20"/>
      </w:rPr>
      <w:fldChar w:fldCharType="begin"/>
    </w:r>
    <w:r>
      <w:rPr>
        <w:sz w:val="20"/>
      </w:rPr>
      <w:instrText xml:space="preserve"> PAGE  \* Arabic  \* MERGEFORMAT </w:instrText>
    </w:r>
    <w:r w:rsidR="00125680">
      <w:rPr>
        <w:sz w:val="20"/>
      </w:rPr>
      <w:fldChar w:fldCharType="separate"/>
    </w:r>
    <w:r w:rsidR="00D007B4">
      <w:rPr>
        <w:noProof/>
        <w:sz w:val="20"/>
      </w:rPr>
      <w:t>2</w:t>
    </w:r>
    <w:r w:rsidR="00125680">
      <w:rPr>
        <w:sz w:val="20"/>
      </w:rPr>
      <w:fldChar w:fldCharType="end"/>
    </w:r>
  </w:p>
  <w:p w:rsidR="009C784A" w:rsidRDefault="009C784A" w:rsidP="0022436D">
    <w:pPr>
      <w:pStyle w:val="Header"/>
      <w:tabs>
        <w:tab w:val="clear" w:pos="4680"/>
        <w:tab w:val="left" w:pos="3600"/>
        <w:tab w:val="right" w:pos="18720"/>
      </w:tabs>
      <w:rPr>
        <w:sz w:val="20"/>
      </w:rPr>
    </w:pPr>
  </w:p>
  <w:p w:rsidR="0022436D" w:rsidRPr="0022436D" w:rsidRDefault="0022436D" w:rsidP="0022436D">
    <w:pPr>
      <w:pStyle w:val="Header"/>
      <w:tabs>
        <w:tab w:val="clear" w:pos="4680"/>
        <w:tab w:val="left" w:pos="3420"/>
        <w:tab w:val="left" w:pos="15480"/>
        <w:tab w:val="right" w:pos="18720"/>
      </w:tabs>
      <w:spacing w:after="120"/>
      <w:rPr>
        <w:szCs w:val="24"/>
      </w:rPr>
    </w:pPr>
    <w:r>
      <w:rPr>
        <w:sz w:val="20"/>
      </w:rPr>
      <w:tab/>
    </w:r>
    <w:r w:rsidR="001A1E5C">
      <w:rPr>
        <w:sz w:val="20"/>
      </w:rPr>
      <w:t>SENATE</w:t>
    </w:r>
    <w:r w:rsidRPr="0022436D">
      <w:rPr>
        <w:szCs w:val="24"/>
      </w:rPr>
      <w:tab/>
    </w:r>
    <w:r w:rsidRPr="0022436D">
      <w:rPr>
        <w:szCs w:val="24"/>
      </w:rPr>
      <w:tab/>
    </w:r>
    <w:r w:rsidR="001A1E5C" w:rsidRPr="0022436D">
      <w:rPr>
        <w:szCs w:val="24"/>
      </w:rPr>
      <w:t>HOUSE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AC6F00"/>
    <w:multiLevelType w:val="hybridMultilevel"/>
    <w:tmpl w:val="2BE2F592"/>
    <w:lvl w:ilvl="0" w:tplc="D036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4D"/>
    <w:rsid w:val="00017236"/>
    <w:rsid w:val="00081FBF"/>
    <w:rsid w:val="00125680"/>
    <w:rsid w:val="001A1E5C"/>
    <w:rsid w:val="001C72E0"/>
    <w:rsid w:val="001F5096"/>
    <w:rsid w:val="0022436D"/>
    <w:rsid w:val="002C048E"/>
    <w:rsid w:val="002C486D"/>
    <w:rsid w:val="00367738"/>
    <w:rsid w:val="00373772"/>
    <w:rsid w:val="00382B93"/>
    <w:rsid w:val="00427695"/>
    <w:rsid w:val="004B4131"/>
    <w:rsid w:val="004F5222"/>
    <w:rsid w:val="0050458C"/>
    <w:rsid w:val="00653026"/>
    <w:rsid w:val="00697AE4"/>
    <w:rsid w:val="0072683D"/>
    <w:rsid w:val="007836EF"/>
    <w:rsid w:val="00787E77"/>
    <w:rsid w:val="00791AE1"/>
    <w:rsid w:val="007C738B"/>
    <w:rsid w:val="007E120B"/>
    <w:rsid w:val="00803A62"/>
    <w:rsid w:val="00827C84"/>
    <w:rsid w:val="008C7930"/>
    <w:rsid w:val="008D0C57"/>
    <w:rsid w:val="008D3311"/>
    <w:rsid w:val="00923C58"/>
    <w:rsid w:val="0095325A"/>
    <w:rsid w:val="00965FC5"/>
    <w:rsid w:val="009C784A"/>
    <w:rsid w:val="00A67E95"/>
    <w:rsid w:val="00B23963"/>
    <w:rsid w:val="00B52998"/>
    <w:rsid w:val="00B87C9E"/>
    <w:rsid w:val="00BA2F85"/>
    <w:rsid w:val="00BC1665"/>
    <w:rsid w:val="00C3654D"/>
    <w:rsid w:val="00C5739F"/>
    <w:rsid w:val="00CE1714"/>
    <w:rsid w:val="00D007B4"/>
    <w:rsid w:val="00D0088B"/>
    <w:rsid w:val="00D2127E"/>
    <w:rsid w:val="00D256C0"/>
    <w:rsid w:val="00D355C2"/>
    <w:rsid w:val="00D421EA"/>
    <w:rsid w:val="00DA5F66"/>
    <w:rsid w:val="00DB2F7E"/>
    <w:rsid w:val="00E128AC"/>
    <w:rsid w:val="00ED0C0E"/>
    <w:rsid w:val="00EF43DC"/>
    <w:rsid w:val="00EF5B38"/>
    <w:rsid w:val="00F24F97"/>
    <w:rsid w:val="00F417BC"/>
    <w:rsid w:val="00F5202C"/>
    <w:rsid w:val="00F7724C"/>
    <w:rsid w:val="00F77BFA"/>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531E811-FF29-4EEC-A301-3D57A5C8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5470B69-0C1D-4BAE-8109-3A134097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side.dotm</Template>
  <TotalTime>0</TotalTime>
  <Pages>4</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GOPGuest</cp:lastModifiedBy>
  <cp:revision>2</cp:revision>
  <dcterms:created xsi:type="dcterms:W3CDTF">2018-05-07T20:49:00Z</dcterms:created>
  <dcterms:modified xsi:type="dcterms:W3CDTF">2018-05-07T20:49:00Z</dcterms:modified>
</cp:coreProperties>
</file>