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EA617" w14:textId="77777777" w:rsidR="00CB6173" w:rsidRPr="00F3611F" w:rsidRDefault="007E5E79">
      <w:pPr>
        <w:rPr>
          <w:rFonts w:ascii="Arial" w:hAnsi="Arial" w:cs="Arial"/>
          <w:b/>
          <w:sz w:val="44"/>
        </w:rPr>
      </w:pPr>
      <w:r w:rsidRPr="00F3611F">
        <w:rPr>
          <w:rFonts w:ascii="Arial" w:hAnsi="Arial" w:cs="Arial"/>
          <w:b/>
          <w:sz w:val="44"/>
        </w:rPr>
        <w:t>Assisted Living Facts and Figures</w:t>
      </w:r>
    </w:p>
    <w:p w14:paraId="7A0688A8" w14:textId="77777777" w:rsidR="007E5E79" w:rsidRPr="00F3611F" w:rsidRDefault="007E5E79">
      <w:pPr>
        <w:rPr>
          <w:rFonts w:ascii="Arial" w:hAnsi="Arial" w:cs="Arial"/>
          <w:b/>
          <w:sz w:val="28"/>
        </w:rPr>
      </w:pPr>
      <w:r w:rsidRPr="00F3611F">
        <w:rPr>
          <w:rFonts w:ascii="Arial" w:hAnsi="Arial" w:cs="Arial"/>
          <w:b/>
          <w:sz w:val="28"/>
        </w:rPr>
        <w:t>Background</w:t>
      </w:r>
    </w:p>
    <w:p w14:paraId="2F5016B1" w14:textId="247665B0" w:rsidR="00481819" w:rsidRPr="00F3611F" w:rsidRDefault="00701C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725C39">
        <w:rPr>
          <w:rFonts w:ascii="Times New Roman" w:hAnsi="Times New Roman" w:cs="Times New Roman"/>
          <w:sz w:val="24"/>
        </w:rPr>
        <w:t>ongregate housing option</w:t>
      </w:r>
      <w:r>
        <w:rPr>
          <w:rFonts w:ascii="Times New Roman" w:hAnsi="Times New Roman" w:cs="Times New Roman"/>
          <w:sz w:val="24"/>
        </w:rPr>
        <w:t>s</w:t>
      </w:r>
      <w:r w:rsidR="00725C39">
        <w:rPr>
          <w:rFonts w:ascii="Times New Roman" w:hAnsi="Times New Roman" w:cs="Times New Roman"/>
          <w:sz w:val="24"/>
        </w:rPr>
        <w:t xml:space="preserve"> </w:t>
      </w:r>
      <w:r w:rsidR="007E5E79" w:rsidRPr="00F3611F">
        <w:rPr>
          <w:rFonts w:ascii="Times New Roman" w:hAnsi="Times New Roman" w:cs="Times New Roman"/>
          <w:sz w:val="24"/>
        </w:rPr>
        <w:t>in Minnesota that offer some type of service package to residents</w:t>
      </w:r>
      <w:r>
        <w:rPr>
          <w:rFonts w:ascii="Times New Roman" w:hAnsi="Times New Roman" w:cs="Times New Roman"/>
          <w:sz w:val="24"/>
        </w:rPr>
        <w:t>, when at least 80 percent of residents are age 55 and older,</w:t>
      </w:r>
      <w:r w:rsidR="007E5E79" w:rsidRPr="00F3611F">
        <w:rPr>
          <w:rFonts w:ascii="Times New Roman" w:hAnsi="Times New Roman" w:cs="Times New Roman"/>
          <w:sz w:val="24"/>
        </w:rPr>
        <w:t xml:space="preserve"> is considered to be a “housing with service establishment” </w:t>
      </w:r>
      <w:r w:rsidR="00481819">
        <w:rPr>
          <w:rFonts w:ascii="Times New Roman" w:hAnsi="Times New Roman" w:cs="Times New Roman"/>
          <w:sz w:val="24"/>
        </w:rPr>
        <w:t xml:space="preserve">(HWS) </w:t>
      </w:r>
      <w:r w:rsidR="007E5E79" w:rsidRPr="00F3611F">
        <w:rPr>
          <w:rFonts w:ascii="Times New Roman" w:hAnsi="Times New Roman" w:cs="Times New Roman"/>
          <w:sz w:val="24"/>
        </w:rPr>
        <w:t xml:space="preserve">and must be registered as such with the Minnesota </w:t>
      </w:r>
      <w:r w:rsidR="007E5E79" w:rsidRPr="00481819">
        <w:rPr>
          <w:rFonts w:ascii="Times New Roman" w:hAnsi="Times New Roman" w:cs="Times New Roman"/>
          <w:sz w:val="24"/>
        </w:rPr>
        <w:t xml:space="preserve">Department of Health (MDH). </w:t>
      </w:r>
      <w:r w:rsidR="00543846" w:rsidRPr="00481819">
        <w:rPr>
          <w:rFonts w:ascii="Times New Roman" w:hAnsi="Times New Roman" w:cs="Times New Roman"/>
          <w:sz w:val="24"/>
        </w:rPr>
        <w:t xml:space="preserve">A </w:t>
      </w:r>
      <w:r w:rsidR="00B6618D" w:rsidRPr="00481819">
        <w:rPr>
          <w:rFonts w:ascii="Times New Roman" w:hAnsi="Times New Roman" w:cs="Times New Roman"/>
          <w:sz w:val="24"/>
        </w:rPr>
        <w:t>sub-</w:t>
      </w:r>
      <w:r w:rsidR="007E5E79" w:rsidRPr="00481819">
        <w:rPr>
          <w:rFonts w:ascii="Times New Roman" w:hAnsi="Times New Roman" w:cs="Times New Roman"/>
          <w:sz w:val="24"/>
        </w:rPr>
        <w:t xml:space="preserve">category </w:t>
      </w:r>
      <w:r w:rsidR="00B6618D" w:rsidRPr="00481819">
        <w:rPr>
          <w:rFonts w:ascii="Times New Roman" w:hAnsi="Times New Roman" w:cs="Times New Roman"/>
          <w:sz w:val="24"/>
        </w:rPr>
        <w:t xml:space="preserve">of housing with services </w:t>
      </w:r>
      <w:r w:rsidR="00481819" w:rsidRPr="00481819">
        <w:rPr>
          <w:rFonts w:ascii="Times New Roman" w:hAnsi="Times New Roman" w:cs="Times New Roman"/>
          <w:sz w:val="24"/>
        </w:rPr>
        <w:t xml:space="preserve">establishments </w:t>
      </w:r>
      <w:r w:rsidR="007E5E79" w:rsidRPr="00481819">
        <w:rPr>
          <w:rFonts w:ascii="Times New Roman" w:hAnsi="Times New Roman" w:cs="Times New Roman"/>
          <w:sz w:val="24"/>
        </w:rPr>
        <w:t>t</w:t>
      </w:r>
      <w:r w:rsidR="00481819" w:rsidRPr="00481819">
        <w:rPr>
          <w:rFonts w:ascii="Times New Roman" w:hAnsi="Times New Roman" w:cs="Times New Roman"/>
          <w:sz w:val="24"/>
        </w:rPr>
        <w:t>hat</w:t>
      </w:r>
      <w:r w:rsidR="007E5E79" w:rsidRPr="00481819">
        <w:rPr>
          <w:rFonts w:ascii="Times New Roman" w:hAnsi="Times New Roman" w:cs="Times New Roman"/>
          <w:sz w:val="24"/>
        </w:rPr>
        <w:t xml:space="preserve"> meet requirements outlined in state statute </w:t>
      </w:r>
      <w:r w:rsidR="00481819" w:rsidRPr="00481819">
        <w:rPr>
          <w:rFonts w:ascii="Times New Roman" w:hAnsi="Times New Roman" w:cs="Times New Roman"/>
          <w:sz w:val="24"/>
        </w:rPr>
        <w:t>may be designated an assisted living</w:t>
      </w:r>
      <w:r w:rsidR="00481819">
        <w:rPr>
          <w:rFonts w:ascii="Times New Roman" w:hAnsi="Times New Roman" w:cs="Times New Roman"/>
          <w:sz w:val="24"/>
        </w:rPr>
        <w:t xml:space="preserve"> (AL)</w:t>
      </w:r>
      <w:r w:rsidR="00481819" w:rsidRPr="00481819">
        <w:rPr>
          <w:rFonts w:ascii="Times New Roman" w:hAnsi="Times New Roman" w:cs="Times New Roman"/>
          <w:sz w:val="24"/>
        </w:rPr>
        <w:t xml:space="preserve">. Both </w:t>
      </w:r>
      <w:r w:rsidR="00481819">
        <w:rPr>
          <w:rFonts w:ascii="Times New Roman" w:hAnsi="Times New Roman" w:cs="Times New Roman"/>
          <w:sz w:val="24"/>
        </w:rPr>
        <w:t>HWS and AL</w:t>
      </w:r>
      <w:r w:rsidR="00481819" w:rsidRPr="00481819">
        <w:rPr>
          <w:rFonts w:ascii="Times New Roman" w:hAnsi="Times New Roman" w:cs="Times New Roman"/>
          <w:sz w:val="24"/>
        </w:rPr>
        <w:t xml:space="preserve"> establishments must comply with applicable housing and safety codes, and the services offered must be provided by appropriately licensed providers. Residents usually pay a fixed monthly base fee that includes the rent and often includes a “package” of services.</w:t>
      </w:r>
    </w:p>
    <w:p w14:paraId="4C39FF21" w14:textId="6D80933D" w:rsidR="007E5E79" w:rsidRPr="00F3611F" w:rsidRDefault="007E5E79">
      <w:pPr>
        <w:rPr>
          <w:rFonts w:ascii="Arial" w:hAnsi="Arial" w:cs="Arial"/>
          <w:b/>
          <w:sz w:val="28"/>
        </w:rPr>
      </w:pPr>
      <w:r w:rsidRPr="00F3611F">
        <w:rPr>
          <w:rFonts w:ascii="Arial" w:hAnsi="Arial" w:cs="Arial"/>
          <w:b/>
          <w:sz w:val="28"/>
        </w:rPr>
        <w:t xml:space="preserve">What services are </w:t>
      </w:r>
      <w:r w:rsidR="008856F0">
        <w:rPr>
          <w:rFonts w:ascii="Arial" w:hAnsi="Arial" w:cs="Arial"/>
          <w:b/>
          <w:sz w:val="28"/>
        </w:rPr>
        <w:t>available</w:t>
      </w:r>
      <w:r w:rsidRPr="00F3611F">
        <w:rPr>
          <w:rFonts w:ascii="Arial" w:hAnsi="Arial" w:cs="Arial"/>
          <w:b/>
          <w:sz w:val="28"/>
        </w:rPr>
        <w:t xml:space="preserve"> in assisted living establishments?</w:t>
      </w:r>
    </w:p>
    <w:p w14:paraId="382B892F" w14:textId="4EF0FEB8" w:rsidR="00804DA4" w:rsidRDefault="00481819" w:rsidP="00481819">
      <w:pPr>
        <w:rPr>
          <w:rFonts w:ascii="Times New Roman" w:hAnsi="Times New Roman" w:cs="Times New Roman"/>
          <w:sz w:val="24"/>
        </w:rPr>
      </w:pPr>
      <w:r w:rsidRPr="00804DA4">
        <w:rPr>
          <w:rFonts w:ascii="Times New Roman" w:hAnsi="Times New Roman" w:cs="Times New Roman"/>
          <w:sz w:val="24"/>
        </w:rPr>
        <w:t>To register as a HWS establishment, an establishment must offer two or more regularly scheduled supportive services and one o</w:t>
      </w:r>
      <w:r w:rsidR="008856F0">
        <w:rPr>
          <w:rFonts w:ascii="Times New Roman" w:hAnsi="Times New Roman" w:cs="Times New Roman"/>
          <w:sz w:val="24"/>
        </w:rPr>
        <w:t>r more health related services.</w:t>
      </w:r>
    </w:p>
    <w:p w14:paraId="48663BB4" w14:textId="7A9C8454" w:rsidR="00804DA4" w:rsidRDefault="00701CF4" w:rsidP="004818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Examples of s</w:t>
      </w:r>
      <w:r w:rsidR="00481819" w:rsidRPr="00804DA4">
        <w:rPr>
          <w:rFonts w:ascii="Times New Roman" w:hAnsi="Times New Roman" w:cs="Times New Roman"/>
          <w:sz w:val="24"/>
        </w:rPr>
        <w:t xml:space="preserve">upportive services </w:t>
      </w:r>
      <w:r>
        <w:rPr>
          <w:rFonts w:ascii="Times New Roman" w:hAnsi="Times New Roman" w:cs="Times New Roman"/>
          <w:sz w:val="24"/>
        </w:rPr>
        <w:t>that an</w:t>
      </w:r>
      <w:r w:rsidR="00481819" w:rsidRPr="00804DA4">
        <w:rPr>
          <w:rFonts w:ascii="Times New Roman" w:hAnsi="Times New Roman" w:cs="Times New Roman"/>
          <w:sz w:val="24"/>
        </w:rPr>
        <w:t xml:space="preserve"> establishment may </w:t>
      </w:r>
      <w:r>
        <w:rPr>
          <w:rFonts w:ascii="Times New Roman" w:hAnsi="Times New Roman" w:cs="Times New Roman"/>
          <w:sz w:val="24"/>
        </w:rPr>
        <w:t xml:space="preserve">choose to offer </w:t>
      </w:r>
      <w:r w:rsidR="00481819" w:rsidRPr="00804DA4">
        <w:rPr>
          <w:rFonts w:ascii="Times New Roman" w:hAnsi="Times New Roman" w:cs="Times New Roman"/>
          <w:sz w:val="24"/>
        </w:rPr>
        <w:t>include</w:t>
      </w:r>
      <w:r>
        <w:rPr>
          <w:rFonts w:ascii="Times New Roman" w:hAnsi="Times New Roman" w:cs="Times New Roman"/>
          <w:sz w:val="24"/>
        </w:rPr>
        <w:t xml:space="preserve"> but are not limited to</w:t>
      </w:r>
      <w:r w:rsidR="00481819" w:rsidRPr="00804DA4">
        <w:rPr>
          <w:rFonts w:ascii="Times New Roman" w:hAnsi="Times New Roman" w:cs="Times New Roman"/>
          <w:sz w:val="24"/>
        </w:rPr>
        <w:t xml:space="preserve">: arranging for medical </w:t>
      </w:r>
      <w:r>
        <w:rPr>
          <w:rFonts w:ascii="Times New Roman" w:hAnsi="Times New Roman" w:cs="Times New Roman"/>
          <w:sz w:val="24"/>
        </w:rPr>
        <w:t xml:space="preserve">or social </w:t>
      </w:r>
      <w:r w:rsidR="00481819" w:rsidRPr="00804DA4">
        <w:rPr>
          <w:rFonts w:ascii="Times New Roman" w:hAnsi="Times New Roman" w:cs="Times New Roman"/>
          <w:sz w:val="24"/>
        </w:rPr>
        <w:t>services</w:t>
      </w:r>
      <w:r>
        <w:rPr>
          <w:rFonts w:ascii="Times New Roman" w:hAnsi="Times New Roman" w:cs="Times New Roman"/>
          <w:sz w:val="24"/>
        </w:rPr>
        <w:t>; arranging for transportation;</w:t>
      </w:r>
      <w:r w:rsidR="004818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providing meals, housekeeping, laundry and opportunities for socialization</w:t>
      </w:r>
      <w:r w:rsidR="008856F0">
        <w:rPr>
          <w:rFonts w:ascii="Times New Roman" w:hAnsi="Times New Roman" w:cs="Times New Roman"/>
          <w:sz w:val="24"/>
        </w:rPr>
        <w:t>.</w:t>
      </w:r>
    </w:p>
    <w:p w14:paraId="52E5C426" w14:textId="618D9163" w:rsidR="00481819" w:rsidRDefault="00701CF4" w:rsidP="00481819">
      <w:pPr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Examples of h</w:t>
      </w:r>
      <w:r w:rsidR="00481819">
        <w:rPr>
          <w:rFonts w:ascii="Times New Roman" w:hAnsi="Times New Roman" w:cs="Times New Roman"/>
          <w:sz w:val="24"/>
        </w:rPr>
        <w:t xml:space="preserve">ealth related services </w:t>
      </w:r>
      <w:r>
        <w:rPr>
          <w:rFonts w:ascii="Times New Roman" w:hAnsi="Times New Roman" w:cs="Times New Roman"/>
          <w:sz w:val="24"/>
        </w:rPr>
        <w:t>that an</w:t>
      </w:r>
      <w:r w:rsidR="00481819">
        <w:rPr>
          <w:rFonts w:ascii="Times New Roman" w:hAnsi="Times New Roman" w:cs="Times New Roman"/>
          <w:sz w:val="24"/>
        </w:rPr>
        <w:t xml:space="preserve"> establishment may</w:t>
      </w:r>
      <w:r>
        <w:rPr>
          <w:rFonts w:ascii="Times New Roman" w:hAnsi="Times New Roman" w:cs="Times New Roman"/>
          <w:sz w:val="24"/>
        </w:rPr>
        <w:t xml:space="preserve"> choose to provide</w:t>
      </w:r>
      <w:r w:rsidR="00481819">
        <w:rPr>
          <w:rFonts w:ascii="Times New Roman" w:hAnsi="Times New Roman" w:cs="Times New Roman"/>
          <w:sz w:val="24"/>
        </w:rPr>
        <w:t xml:space="preserve"> include but are not limited to: </w:t>
      </w:r>
      <w:r w:rsidR="00804DA4">
        <w:rPr>
          <w:rFonts w:ascii="Times New Roman" w:hAnsi="Times New Roman" w:cs="Times New Roman"/>
          <w:sz w:val="24"/>
        </w:rPr>
        <w:t>p</w:t>
      </w:r>
      <w:r w:rsidR="00804DA4" w:rsidRPr="00804DA4">
        <w:rPr>
          <w:rFonts w:ascii="Times New Roman" w:hAnsi="Times New Roman" w:cs="Times New Roman"/>
          <w:sz w:val="24"/>
        </w:rPr>
        <w:t>rofessional nursing services</w:t>
      </w:r>
      <w:r w:rsidR="00034116">
        <w:rPr>
          <w:rFonts w:ascii="Times New Roman" w:hAnsi="Times New Roman" w:cs="Times New Roman"/>
          <w:sz w:val="24"/>
        </w:rPr>
        <w:t>;</w:t>
      </w:r>
      <w:r w:rsidR="00804DA4">
        <w:rPr>
          <w:rFonts w:ascii="Times New Roman" w:hAnsi="Times New Roman" w:cs="Times New Roman"/>
          <w:sz w:val="24"/>
        </w:rPr>
        <w:t xml:space="preserve"> a</w:t>
      </w:r>
      <w:r w:rsidR="00804DA4" w:rsidRPr="00804DA4">
        <w:rPr>
          <w:rFonts w:ascii="Times New Roman" w:hAnsi="Times New Roman" w:cs="Times New Roman"/>
          <w:sz w:val="24"/>
        </w:rPr>
        <w:t>dministration of medications</w:t>
      </w:r>
      <w:r w:rsidR="00034116">
        <w:rPr>
          <w:rFonts w:ascii="Times New Roman" w:hAnsi="Times New Roman" w:cs="Times New Roman"/>
          <w:sz w:val="24"/>
        </w:rPr>
        <w:t>;</w:t>
      </w:r>
      <w:r w:rsidR="00804D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providing assistance with activities of daily living such as dressing, grooming, bathing, eating, and toileting.</w:t>
      </w:r>
    </w:p>
    <w:p w14:paraId="67FD732C" w14:textId="1407185B" w:rsidR="00D20551" w:rsidRDefault="004A3F4A" w:rsidP="00D205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034116">
        <w:rPr>
          <w:rFonts w:ascii="Times New Roman" w:hAnsi="Times New Roman" w:cs="Times New Roman"/>
          <w:sz w:val="24"/>
        </w:rPr>
        <w:t>o</w:t>
      </w:r>
      <w:r w:rsidR="00D20551" w:rsidRPr="00034116">
        <w:rPr>
          <w:rFonts w:ascii="Times New Roman" w:hAnsi="Times New Roman" w:cs="Times New Roman"/>
          <w:sz w:val="24"/>
        </w:rPr>
        <w:t xml:space="preserve"> register as </w:t>
      </w:r>
      <w:r w:rsidR="00804DA4" w:rsidRPr="00034116">
        <w:rPr>
          <w:rFonts w:ascii="Times New Roman" w:hAnsi="Times New Roman" w:cs="Times New Roman"/>
          <w:sz w:val="24"/>
        </w:rPr>
        <w:t xml:space="preserve">an </w:t>
      </w:r>
      <w:r w:rsidR="00493475" w:rsidRPr="00034116">
        <w:rPr>
          <w:rFonts w:ascii="Times New Roman" w:hAnsi="Times New Roman" w:cs="Times New Roman"/>
          <w:sz w:val="24"/>
        </w:rPr>
        <w:t>a</w:t>
      </w:r>
      <w:r w:rsidR="00D20551" w:rsidRPr="00034116">
        <w:rPr>
          <w:rFonts w:ascii="Times New Roman" w:hAnsi="Times New Roman" w:cs="Times New Roman"/>
          <w:sz w:val="24"/>
        </w:rPr>
        <w:t xml:space="preserve">ssisted living </w:t>
      </w:r>
      <w:r w:rsidR="00804DA4" w:rsidRPr="00034116">
        <w:rPr>
          <w:rFonts w:ascii="Times New Roman" w:hAnsi="Times New Roman" w:cs="Times New Roman"/>
          <w:sz w:val="24"/>
        </w:rPr>
        <w:t xml:space="preserve">the establishment </w:t>
      </w:r>
      <w:r>
        <w:rPr>
          <w:rFonts w:ascii="Times New Roman" w:hAnsi="Times New Roman" w:cs="Times New Roman"/>
          <w:sz w:val="24"/>
        </w:rPr>
        <w:t xml:space="preserve">must </w:t>
      </w:r>
      <w:r w:rsidR="009E1FF5">
        <w:rPr>
          <w:rFonts w:ascii="Times New Roman" w:hAnsi="Times New Roman" w:cs="Times New Roman"/>
          <w:sz w:val="24"/>
        </w:rPr>
        <w:t xml:space="preserve">offer certain supportive and health-related services, and must have a system for responding to health and safety needs for assisted living residents 24 hours a day, among other requirements. </w:t>
      </w:r>
    </w:p>
    <w:p w14:paraId="74D15486" w14:textId="5F5D46FF" w:rsidR="008856F0" w:rsidRPr="00F3611F" w:rsidRDefault="008856F0" w:rsidP="008856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How are</w:t>
      </w:r>
      <w:r w:rsidRPr="00F3611F">
        <w:rPr>
          <w:rFonts w:ascii="Arial" w:hAnsi="Arial" w:cs="Arial"/>
          <w:b/>
          <w:sz w:val="28"/>
        </w:rPr>
        <w:t xml:space="preserve"> services </w:t>
      </w:r>
      <w:r>
        <w:rPr>
          <w:rFonts w:ascii="Arial" w:hAnsi="Arial" w:cs="Arial"/>
          <w:b/>
          <w:sz w:val="28"/>
        </w:rPr>
        <w:t>paid for</w:t>
      </w:r>
      <w:r w:rsidRPr="00F3611F">
        <w:rPr>
          <w:rFonts w:ascii="Arial" w:hAnsi="Arial" w:cs="Arial"/>
          <w:b/>
          <w:sz w:val="28"/>
        </w:rPr>
        <w:t xml:space="preserve"> in assisted living establishments?</w:t>
      </w:r>
    </w:p>
    <w:p w14:paraId="20266E20" w14:textId="4CB5E0B8" w:rsidR="004A3F4A" w:rsidRDefault="009E1FF5" w:rsidP="004A3F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Residents typically pay for services through their personal funds, or </w:t>
      </w:r>
      <w:r w:rsidR="0061764F">
        <w:rPr>
          <w:rFonts w:ascii="Times New Roman" w:hAnsi="Times New Roman" w:cs="Times New Roman"/>
          <w:sz w:val="24"/>
        </w:rPr>
        <w:t xml:space="preserve">for people who qualify for public programs, </w:t>
      </w:r>
      <w:r>
        <w:rPr>
          <w:rFonts w:ascii="Times New Roman" w:hAnsi="Times New Roman" w:cs="Times New Roman"/>
          <w:sz w:val="24"/>
        </w:rPr>
        <w:t xml:space="preserve">through </w:t>
      </w:r>
      <w:r w:rsidR="0061764F">
        <w:rPr>
          <w:rFonts w:ascii="Times New Roman" w:hAnsi="Times New Roman" w:cs="Times New Roman"/>
          <w:sz w:val="24"/>
        </w:rPr>
        <w:t xml:space="preserve">a Medical Assistance (MA) home and community-based waiver </w:t>
      </w:r>
      <w:r w:rsidR="00975B86">
        <w:rPr>
          <w:rFonts w:ascii="Times New Roman" w:hAnsi="Times New Roman" w:cs="Times New Roman"/>
          <w:sz w:val="24"/>
        </w:rPr>
        <w:t xml:space="preserve">program </w:t>
      </w:r>
      <w:r w:rsidR="0061764F">
        <w:rPr>
          <w:rFonts w:ascii="Times New Roman" w:hAnsi="Times New Roman" w:cs="Times New Roman"/>
          <w:sz w:val="24"/>
        </w:rPr>
        <w:t xml:space="preserve">such as Elderly Waiver (EW). </w:t>
      </w:r>
      <w:r w:rsidR="004A3F4A">
        <w:rPr>
          <w:rFonts w:ascii="Times New Roman" w:hAnsi="Times New Roman" w:cs="Times New Roman"/>
          <w:sz w:val="24"/>
        </w:rPr>
        <w:t>The</w:t>
      </w:r>
      <w:r w:rsidR="0061764F">
        <w:rPr>
          <w:rFonts w:ascii="Times New Roman" w:hAnsi="Times New Roman" w:cs="Times New Roman"/>
          <w:sz w:val="24"/>
        </w:rPr>
        <w:t xml:space="preserve"> EW program, for people </w:t>
      </w:r>
      <w:r w:rsidR="00975B86">
        <w:rPr>
          <w:rFonts w:ascii="Times New Roman" w:hAnsi="Times New Roman" w:cs="Times New Roman"/>
          <w:sz w:val="24"/>
        </w:rPr>
        <w:t xml:space="preserve">age </w:t>
      </w:r>
      <w:r w:rsidR="0061764F">
        <w:rPr>
          <w:rFonts w:ascii="Times New Roman" w:hAnsi="Times New Roman" w:cs="Times New Roman"/>
          <w:sz w:val="24"/>
        </w:rPr>
        <w:t>65 and older, includes</w:t>
      </w:r>
      <w:r w:rsidR="008A692F">
        <w:rPr>
          <w:rFonts w:ascii="Times New Roman" w:hAnsi="Times New Roman" w:cs="Times New Roman"/>
          <w:sz w:val="24"/>
        </w:rPr>
        <w:t xml:space="preserve"> a range of services, including</w:t>
      </w:r>
      <w:r w:rsidR="0061764F">
        <w:rPr>
          <w:rFonts w:ascii="Times New Roman" w:hAnsi="Times New Roman" w:cs="Times New Roman"/>
          <w:sz w:val="24"/>
        </w:rPr>
        <w:t xml:space="preserve"> “customized living” which </w:t>
      </w:r>
      <w:r w:rsidR="00975B86">
        <w:rPr>
          <w:rFonts w:ascii="Times New Roman" w:hAnsi="Times New Roman" w:cs="Times New Roman"/>
          <w:sz w:val="24"/>
        </w:rPr>
        <w:t>is a bundled service provided</w:t>
      </w:r>
      <w:r w:rsidR="0061764F">
        <w:rPr>
          <w:rFonts w:ascii="Times New Roman" w:hAnsi="Times New Roman" w:cs="Times New Roman"/>
          <w:sz w:val="24"/>
        </w:rPr>
        <w:t xml:space="preserve"> in assisted living.</w:t>
      </w:r>
      <w:r w:rsidR="008856F0">
        <w:rPr>
          <w:rFonts w:ascii="Times New Roman" w:hAnsi="Times New Roman" w:cs="Times New Roman"/>
          <w:sz w:val="24"/>
        </w:rPr>
        <w:t xml:space="preserve"> </w:t>
      </w:r>
      <w:r w:rsidR="0061764F">
        <w:rPr>
          <w:rFonts w:ascii="Times New Roman" w:hAnsi="Times New Roman" w:cs="Times New Roman"/>
          <w:sz w:val="24"/>
        </w:rPr>
        <w:t>C</w:t>
      </w:r>
      <w:r w:rsidR="004A3F4A">
        <w:rPr>
          <w:rFonts w:ascii="Times New Roman" w:hAnsi="Times New Roman" w:cs="Times New Roman"/>
          <w:sz w:val="24"/>
        </w:rPr>
        <w:t xml:space="preserve">ustomized living provides payment for </w:t>
      </w:r>
      <w:r w:rsidR="0061764F">
        <w:rPr>
          <w:rFonts w:ascii="Times New Roman" w:hAnsi="Times New Roman" w:cs="Times New Roman"/>
          <w:sz w:val="24"/>
        </w:rPr>
        <w:t>individualized services based on a person’s needs. Like all Medical Assistance, it does not pay for room and board.</w:t>
      </w:r>
      <w:r w:rsidR="008856F0">
        <w:rPr>
          <w:rFonts w:ascii="Times New Roman" w:hAnsi="Times New Roman" w:cs="Times New Roman"/>
          <w:sz w:val="24"/>
        </w:rPr>
        <w:t xml:space="preserve"> </w:t>
      </w:r>
      <w:r w:rsidR="0061764F">
        <w:rPr>
          <w:rFonts w:ascii="Times New Roman" w:hAnsi="Times New Roman" w:cs="Times New Roman"/>
          <w:sz w:val="24"/>
        </w:rPr>
        <w:t xml:space="preserve">In fiscal year 2016, </w:t>
      </w:r>
      <w:r w:rsidR="00975B86">
        <w:rPr>
          <w:rFonts w:ascii="Times New Roman" w:hAnsi="Times New Roman" w:cs="Times New Roman"/>
          <w:sz w:val="24"/>
        </w:rPr>
        <w:t xml:space="preserve">a total of </w:t>
      </w:r>
      <w:r w:rsidR="0061764F">
        <w:rPr>
          <w:rFonts w:ascii="Times New Roman" w:hAnsi="Times New Roman" w:cs="Times New Roman"/>
          <w:sz w:val="24"/>
        </w:rPr>
        <w:t xml:space="preserve">11,845 people received customized living services through EW. The average age of EW </w:t>
      </w:r>
      <w:r w:rsidR="008A692F">
        <w:rPr>
          <w:rFonts w:ascii="Times New Roman" w:hAnsi="Times New Roman" w:cs="Times New Roman"/>
          <w:sz w:val="24"/>
        </w:rPr>
        <w:t>customized living recipients was 84</w:t>
      </w:r>
      <w:r w:rsidR="00975B86">
        <w:rPr>
          <w:rFonts w:ascii="Times New Roman" w:hAnsi="Times New Roman" w:cs="Times New Roman"/>
          <w:sz w:val="24"/>
        </w:rPr>
        <w:t>. Most (</w:t>
      </w:r>
      <w:r w:rsidR="008A692F">
        <w:rPr>
          <w:rFonts w:ascii="Times New Roman" w:hAnsi="Times New Roman" w:cs="Times New Roman"/>
          <w:sz w:val="24"/>
        </w:rPr>
        <w:t>76%</w:t>
      </w:r>
      <w:r w:rsidR="00975B86">
        <w:rPr>
          <w:rFonts w:ascii="Times New Roman" w:hAnsi="Times New Roman" w:cs="Times New Roman"/>
          <w:sz w:val="24"/>
        </w:rPr>
        <w:t>)</w:t>
      </w:r>
      <w:r w:rsidR="008A692F">
        <w:rPr>
          <w:rFonts w:ascii="Times New Roman" w:hAnsi="Times New Roman" w:cs="Times New Roman"/>
          <w:sz w:val="24"/>
        </w:rPr>
        <w:t xml:space="preserve"> were women and 24% were men. </w:t>
      </w:r>
    </w:p>
    <w:p w14:paraId="01384531" w14:textId="77777777" w:rsidR="007E5E79" w:rsidRPr="00F3611F" w:rsidRDefault="007E5E79">
      <w:pPr>
        <w:rPr>
          <w:rFonts w:ascii="Arial" w:hAnsi="Arial" w:cs="Arial"/>
          <w:sz w:val="28"/>
        </w:rPr>
      </w:pPr>
      <w:r w:rsidRPr="00F3611F">
        <w:rPr>
          <w:rFonts w:ascii="Arial" w:hAnsi="Arial" w:cs="Arial"/>
          <w:b/>
          <w:sz w:val="28"/>
        </w:rPr>
        <w:t>How is a person admitted to an assisted living establishment?</w:t>
      </w:r>
    </w:p>
    <w:p w14:paraId="66C312FC" w14:textId="2850B43D" w:rsidR="007E5E79" w:rsidRPr="00F3611F" w:rsidRDefault="00064390">
      <w:pPr>
        <w:rPr>
          <w:rFonts w:ascii="Times New Roman" w:hAnsi="Times New Roman" w:cs="Times New Roman"/>
          <w:sz w:val="24"/>
        </w:rPr>
      </w:pPr>
      <w:r w:rsidRPr="00F3611F">
        <w:rPr>
          <w:rFonts w:ascii="Times New Roman" w:hAnsi="Times New Roman" w:cs="Times New Roman"/>
          <w:sz w:val="24"/>
        </w:rPr>
        <w:t xml:space="preserve">Like any other private apartment in Minnesota, a prospective consumer wishing to reside </w:t>
      </w:r>
      <w:r w:rsidR="00B6618D">
        <w:rPr>
          <w:rFonts w:ascii="Times New Roman" w:hAnsi="Times New Roman" w:cs="Times New Roman"/>
          <w:sz w:val="24"/>
        </w:rPr>
        <w:t>in</w:t>
      </w:r>
      <w:r w:rsidRPr="00F3611F">
        <w:rPr>
          <w:rFonts w:ascii="Times New Roman" w:hAnsi="Times New Roman" w:cs="Times New Roman"/>
          <w:sz w:val="24"/>
        </w:rPr>
        <w:t xml:space="preserve"> assisted living applies to </w:t>
      </w:r>
      <w:r w:rsidR="00B6618D">
        <w:rPr>
          <w:rFonts w:ascii="Times New Roman" w:hAnsi="Times New Roman" w:cs="Times New Roman"/>
          <w:sz w:val="24"/>
        </w:rPr>
        <w:t>the owner and completes a lease agreement that spells out tenant rights</w:t>
      </w:r>
      <w:r w:rsidRPr="00F3611F">
        <w:rPr>
          <w:rFonts w:ascii="Times New Roman" w:hAnsi="Times New Roman" w:cs="Times New Roman"/>
          <w:sz w:val="24"/>
        </w:rPr>
        <w:t>.</w:t>
      </w:r>
      <w:r w:rsidR="00B6618D">
        <w:rPr>
          <w:rFonts w:ascii="Times New Roman" w:hAnsi="Times New Roman" w:cs="Times New Roman"/>
          <w:sz w:val="24"/>
        </w:rPr>
        <w:t xml:space="preserve"> </w:t>
      </w:r>
      <w:r w:rsidR="00804DA4">
        <w:rPr>
          <w:rFonts w:ascii="Times New Roman" w:hAnsi="Times New Roman" w:cs="Times New Roman"/>
          <w:sz w:val="24"/>
        </w:rPr>
        <w:t>Pursuant to Minn. Stat. section 256B.0911, subdivision 3c, p</w:t>
      </w:r>
      <w:r w:rsidR="00B6618D">
        <w:rPr>
          <w:rFonts w:ascii="Times New Roman" w:hAnsi="Times New Roman" w:cs="Times New Roman"/>
          <w:sz w:val="24"/>
        </w:rPr>
        <w:t xml:space="preserve">rior to the completion of a </w:t>
      </w:r>
      <w:r w:rsidR="00493475">
        <w:rPr>
          <w:rFonts w:ascii="Times New Roman" w:hAnsi="Times New Roman" w:cs="Times New Roman"/>
          <w:sz w:val="24"/>
        </w:rPr>
        <w:t xml:space="preserve">housing with service or assisted living </w:t>
      </w:r>
      <w:r w:rsidR="00B6618D">
        <w:rPr>
          <w:rFonts w:ascii="Times New Roman" w:hAnsi="Times New Roman" w:cs="Times New Roman"/>
          <w:sz w:val="24"/>
        </w:rPr>
        <w:t>l</w:t>
      </w:r>
      <w:r w:rsidR="00B6618D" w:rsidRPr="00481819">
        <w:rPr>
          <w:rFonts w:ascii="Times New Roman" w:hAnsi="Times New Roman" w:cs="Times New Roman"/>
          <w:sz w:val="24"/>
        </w:rPr>
        <w:t>ease, individuals must call the Senior LinkAge Line</w:t>
      </w:r>
      <w:r w:rsidR="00B6618D" w:rsidRPr="00804DA4">
        <w:rPr>
          <w:rFonts w:ascii="Times New Roman" w:hAnsi="Times New Roman" w:cs="Times New Roman"/>
          <w:sz w:val="24"/>
          <w:vertAlign w:val="superscript"/>
        </w:rPr>
        <w:t>®</w:t>
      </w:r>
      <w:r w:rsidR="00B6618D" w:rsidRPr="00481819">
        <w:rPr>
          <w:rFonts w:ascii="Times New Roman" w:hAnsi="Times New Roman" w:cs="Times New Roman"/>
          <w:sz w:val="24"/>
        </w:rPr>
        <w:t xml:space="preserve"> to be offered long-term care options counseling regarding </w:t>
      </w:r>
      <w:r w:rsidR="00B6618D" w:rsidRPr="00481819">
        <w:rPr>
          <w:rFonts w:ascii="Times New Roman" w:hAnsi="Times New Roman" w:cs="Times New Roman"/>
          <w:sz w:val="24"/>
        </w:rPr>
        <w:lastRenderedPageBreak/>
        <w:t>service options available to them in their own home. Callers who decide to continue to pursue assisted living r</w:t>
      </w:r>
      <w:r w:rsidR="00B6618D">
        <w:rPr>
          <w:rFonts w:ascii="Times New Roman" w:hAnsi="Times New Roman" w:cs="Times New Roman"/>
          <w:sz w:val="24"/>
        </w:rPr>
        <w:t>esidence receive a code that they provide to the assisted living owner in order to finalize their lease.</w:t>
      </w:r>
      <w:r w:rsidR="00543846">
        <w:rPr>
          <w:rFonts w:ascii="Times New Roman" w:hAnsi="Times New Roman" w:cs="Times New Roman"/>
          <w:sz w:val="24"/>
        </w:rPr>
        <w:t xml:space="preserve"> </w:t>
      </w:r>
    </w:p>
    <w:p w14:paraId="64BC3180" w14:textId="77777777" w:rsidR="007E5E79" w:rsidRPr="00F3611F" w:rsidRDefault="007E5E79">
      <w:pPr>
        <w:rPr>
          <w:rFonts w:ascii="Arial" w:hAnsi="Arial" w:cs="Arial"/>
          <w:b/>
          <w:sz w:val="28"/>
        </w:rPr>
      </w:pPr>
      <w:r w:rsidRPr="00F3611F">
        <w:rPr>
          <w:rFonts w:ascii="Arial" w:hAnsi="Arial" w:cs="Arial"/>
          <w:b/>
          <w:sz w:val="28"/>
        </w:rPr>
        <w:t>How many assisted living beds are there in Minnesota?</w:t>
      </w:r>
    </w:p>
    <w:p w14:paraId="22C3ECA5" w14:textId="2E55D290" w:rsidR="007E5E79" w:rsidRPr="00F3611F" w:rsidRDefault="00D20551" w:rsidP="007E5E79">
      <w:pPr>
        <w:rPr>
          <w:rFonts w:ascii="Times New Roman" w:hAnsi="Times New Roman" w:cs="Times New Roman"/>
          <w:sz w:val="24"/>
        </w:rPr>
      </w:pPr>
      <w:r w:rsidRPr="00F3611F">
        <w:rPr>
          <w:rFonts w:ascii="Times New Roman" w:hAnsi="Times New Roman" w:cs="Times New Roman"/>
          <w:sz w:val="24"/>
        </w:rPr>
        <w:t xml:space="preserve">The Continuing Care for Older Adults Administration </w:t>
      </w:r>
      <w:r w:rsidR="00B6618D">
        <w:rPr>
          <w:rFonts w:ascii="Times New Roman" w:hAnsi="Times New Roman" w:cs="Times New Roman"/>
          <w:sz w:val="24"/>
        </w:rPr>
        <w:t xml:space="preserve">collaborates with MDH to </w:t>
      </w:r>
      <w:r w:rsidRPr="00F3611F">
        <w:rPr>
          <w:rFonts w:ascii="Times New Roman" w:hAnsi="Times New Roman" w:cs="Times New Roman"/>
          <w:sz w:val="24"/>
        </w:rPr>
        <w:t>maintain a m</w:t>
      </w:r>
      <w:r w:rsidR="007E5E79" w:rsidRPr="00F3611F">
        <w:rPr>
          <w:rFonts w:ascii="Times New Roman" w:hAnsi="Times New Roman" w:cs="Times New Roman"/>
          <w:sz w:val="24"/>
        </w:rPr>
        <w:t>easure</w:t>
      </w:r>
      <w:r w:rsidRPr="00F3611F">
        <w:rPr>
          <w:rFonts w:ascii="Times New Roman" w:hAnsi="Times New Roman" w:cs="Times New Roman"/>
          <w:sz w:val="24"/>
        </w:rPr>
        <w:t>, t</w:t>
      </w:r>
      <w:r w:rsidR="007E5E79" w:rsidRPr="00F3611F">
        <w:rPr>
          <w:rFonts w:ascii="Times New Roman" w:hAnsi="Times New Roman" w:cs="Times New Roman"/>
          <w:sz w:val="24"/>
        </w:rPr>
        <w:t>he Number of Assisted Living Beds per 1,000 Persons Age 65 and Over by County</w:t>
      </w:r>
      <w:r w:rsidR="00B6618D">
        <w:rPr>
          <w:rFonts w:ascii="Times New Roman" w:hAnsi="Times New Roman" w:cs="Times New Roman"/>
          <w:sz w:val="24"/>
        </w:rPr>
        <w:t xml:space="preserve">. This </w:t>
      </w:r>
      <w:r w:rsidR="00B757E1">
        <w:rPr>
          <w:rFonts w:ascii="Times New Roman" w:hAnsi="Times New Roman" w:cs="Times New Roman"/>
          <w:sz w:val="24"/>
        </w:rPr>
        <w:t xml:space="preserve">is </w:t>
      </w:r>
      <w:r w:rsidR="00B6618D">
        <w:rPr>
          <w:rFonts w:ascii="Times New Roman" w:hAnsi="Times New Roman" w:cs="Times New Roman"/>
          <w:sz w:val="24"/>
        </w:rPr>
        <w:t>one of the measures tracked to</w:t>
      </w:r>
      <w:r w:rsidR="00493475">
        <w:rPr>
          <w:rFonts w:ascii="Times New Roman" w:hAnsi="Times New Roman" w:cs="Times New Roman"/>
          <w:sz w:val="24"/>
        </w:rPr>
        <w:t xml:space="preserve"> </w:t>
      </w:r>
      <w:r w:rsidR="00B6618D">
        <w:rPr>
          <w:rFonts w:ascii="Times New Roman" w:hAnsi="Times New Roman" w:cs="Times New Roman"/>
          <w:sz w:val="24"/>
        </w:rPr>
        <w:t>gauge</w:t>
      </w:r>
      <w:r w:rsidR="00064390" w:rsidRPr="00F3611F">
        <w:rPr>
          <w:rFonts w:ascii="Times New Roman" w:hAnsi="Times New Roman" w:cs="Times New Roman"/>
          <w:sz w:val="24"/>
        </w:rPr>
        <w:t xml:space="preserve"> the availability of</w:t>
      </w:r>
      <w:r w:rsidR="00B6618D">
        <w:rPr>
          <w:rFonts w:ascii="Times New Roman" w:hAnsi="Times New Roman" w:cs="Times New Roman"/>
          <w:sz w:val="24"/>
        </w:rPr>
        <w:t xml:space="preserve"> a range of housing and service</w:t>
      </w:r>
      <w:r w:rsidR="00064390" w:rsidRPr="00F3611F">
        <w:rPr>
          <w:rFonts w:ascii="Times New Roman" w:hAnsi="Times New Roman" w:cs="Times New Roman"/>
          <w:sz w:val="24"/>
        </w:rPr>
        <w:t xml:space="preserve"> choice</w:t>
      </w:r>
      <w:r w:rsidR="00B6618D">
        <w:rPr>
          <w:rFonts w:ascii="Times New Roman" w:hAnsi="Times New Roman" w:cs="Times New Roman"/>
          <w:sz w:val="24"/>
        </w:rPr>
        <w:t>s</w:t>
      </w:r>
      <w:r w:rsidR="00064390" w:rsidRPr="00F3611F">
        <w:rPr>
          <w:rFonts w:ascii="Times New Roman" w:hAnsi="Times New Roman" w:cs="Times New Roman"/>
          <w:sz w:val="24"/>
        </w:rPr>
        <w:t xml:space="preserve"> for older adults in their communities.</w:t>
      </w:r>
    </w:p>
    <w:p w14:paraId="3D667AF6" w14:textId="4F09C388" w:rsidR="00034116" w:rsidRDefault="007E5E79" w:rsidP="00797356">
      <w:pPr>
        <w:rPr>
          <w:rFonts w:ascii="Times New Roman" w:hAnsi="Times New Roman" w:cs="Times New Roman"/>
          <w:sz w:val="24"/>
        </w:rPr>
      </w:pPr>
      <w:r w:rsidRPr="00034116">
        <w:rPr>
          <w:rFonts w:ascii="Times New Roman" w:hAnsi="Times New Roman" w:cs="Times New Roman"/>
          <w:sz w:val="24"/>
        </w:rPr>
        <w:t xml:space="preserve">In </w:t>
      </w:r>
      <w:r w:rsidR="00FE0702" w:rsidRPr="00034116">
        <w:rPr>
          <w:rFonts w:ascii="Times New Roman" w:hAnsi="Times New Roman" w:cs="Times New Roman"/>
          <w:sz w:val="24"/>
        </w:rPr>
        <w:t>June 2016</w:t>
      </w:r>
      <w:r w:rsidRPr="00034116">
        <w:rPr>
          <w:rFonts w:ascii="Times New Roman" w:hAnsi="Times New Roman" w:cs="Times New Roman"/>
          <w:sz w:val="24"/>
        </w:rPr>
        <w:t>, there were 1,</w:t>
      </w:r>
      <w:r w:rsidR="00FE0702" w:rsidRPr="00034116">
        <w:rPr>
          <w:rFonts w:ascii="Times New Roman" w:hAnsi="Times New Roman" w:cs="Times New Roman"/>
          <w:sz w:val="24"/>
        </w:rPr>
        <w:t>581</w:t>
      </w:r>
      <w:r w:rsidRPr="00034116">
        <w:rPr>
          <w:rFonts w:ascii="Times New Roman" w:hAnsi="Times New Roman" w:cs="Times New Roman"/>
          <w:sz w:val="24"/>
        </w:rPr>
        <w:t xml:space="preserve"> housing with services establishments</w:t>
      </w:r>
      <w:r w:rsidR="0061764F">
        <w:rPr>
          <w:rFonts w:ascii="Times New Roman" w:hAnsi="Times New Roman" w:cs="Times New Roman"/>
          <w:sz w:val="24"/>
        </w:rPr>
        <w:t>. Of those,</w:t>
      </w:r>
      <w:r w:rsidR="00FE0702" w:rsidRPr="00034116">
        <w:rPr>
          <w:rFonts w:ascii="Times New Roman" w:hAnsi="Times New Roman" w:cs="Times New Roman"/>
          <w:sz w:val="24"/>
        </w:rPr>
        <w:t xml:space="preserve"> </w:t>
      </w:r>
      <w:r w:rsidR="00975B86">
        <w:rPr>
          <w:rFonts w:ascii="Times New Roman" w:hAnsi="Times New Roman" w:cs="Times New Roman"/>
          <w:sz w:val="24"/>
        </w:rPr>
        <w:t xml:space="preserve">a total of </w:t>
      </w:r>
      <w:r w:rsidR="00FE0702" w:rsidRPr="00034116">
        <w:rPr>
          <w:rFonts w:ascii="Times New Roman" w:hAnsi="Times New Roman" w:cs="Times New Roman"/>
          <w:sz w:val="24"/>
        </w:rPr>
        <w:t>1,193 establishments</w:t>
      </w:r>
      <w:r w:rsidR="0061764F">
        <w:rPr>
          <w:rFonts w:ascii="Times New Roman" w:hAnsi="Times New Roman" w:cs="Times New Roman"/>
          <w:sz w:val="24"/>
        </w:rPr>
        <w:t xml:space="preserve"> were</w:t>
      </w:r>
      <w:r w:rsidR="00FE0702" w:rsidRPr="00034116">
        <w:rPr>
          <w:rFonts w:ascii="Times New Roman" w:hAnsi="Times New Roman" w:cs="Times New Roman"/>
          <w:sz w:val="24"/>
        </w:rPr>
        <w:t xml:space="preserve"> </w:t>
      </w:r>
      <w:r w:rsidRPr="00034116">
        <w:rPr>
          <w:rFonts w:ascii="Times New Roman" w:hAnsi="Times New Roman" w:cs="Times New Roman"/>
          <w:sz w:val="24"/>
        </w:rPr>
        <w:t>designated to provide assisted living services.</w:t>
      </w:r>
      <w:r w:rsidR="00FE0702" w:rsidRPr="00034116">
        <w:rPr>
          <w:rFonts w:ascii="Times New Roman" w:hAnsi="Times New Roman" w:cs="Times New Roman"/>
          <w:sz w:val="24"/>
        </w:rPr>
        <w:t xml:space="preserve"> </w:t>
      </w:r>
      <w:r w:rsidR="00B6618D" w:rsidRPr="00034116">
        <w:rPr>
          <w:rFonts w:ascii="Times New Roman" w:hAnsi="Times New Roman" w:cs="Times New Roman"/>
          <w:sz w:val="24"/>
        </w:rPr>
        <w:t>T</w:t>
      </w:r>
      <w:r w:rsidRPr="00034116">
        <w:rPr>
          <w:rFonts w:ascii="Times New Roman" w:hAnsi="Times New Roman" w:cs="Times New Roman"/>
          <w:sz w:val="24"/>
        </w:rPr>
        <w:t xml:space="preserve">hese </w:t>
      </w:r>
      <w:r w:rsidR="00034116">
        <w:rPr>
          <w:rFonts w:ascii="Times New Roman" w:hAnsi="Times New Roman" w:cs="Times New Roman"/>
          <w:sz w:val="24"/>
        </w:rPr>
        <w:t>entities</w:t>
      </w:r>
      <w:r w:rsidRPr="00034116">
        <w:rPr>
          <w:rFonts w:ascii="Times New Roman" w:hAnsi="Times New Roman" w:cs="Times New Roman"/>
          <w:sz w:val="24"/>
        </w:rPr>
        <w:t xml:space="preserve"> ha</w:t>
      </w:r>
      <w:r w:rsidR="00B6618D" w:rsidRPr="00034116">
        <w:rPr>
          <w:rFonts w:ascii="Times New Roman" w:hAnsi="Times New Roman" w:cs="Times New Roman"/>
          <w:sz w:val="24"/>
        </w:rPr>
        <w:t>d</w:t>
      </w:r>
      <w:r w:rsidRPr="00034116">
        <w:rPr>
          <w:rFonts w:ascii="Times New Roman" w:hAnsi="Times New Roman" w:cs="Times New Roman"/>
          <w:sz w:val="24"/>
        </w:rPr>
        <w:t xml:space="preserve"> </w:t>
      </w:r>
      <w:r w:rsidR="00FE0702" w:rsidRPr="00034116">
        <w:rPr>
          <w:rFonts w:ascii="Times New Roman" w:hAnsi="Times New Roman" w:cs="Times New Roman"/>
          <w:sz w:val="24"/>
        </w:rPr>
        <w:t>a total capacity of 126,696 beds (71,555</w:t>
      </w:r>
      <w:r w:rsidR="00034116" w:rsidRPr="00034116">
        <w:rPr>
          <w:rFonts w:ascii="Times New Roman" w:hAnsi="Times New Roman" w:cs="Times New Roman"/>
          <w:sz w:val="24"/>
        </w:rPr>
        <w:t xml:space="preserve"> for </w:t>
      </w:r>
      <w:r w:rsidR="00FE0702" w:rsidRPr="00034116">
        <w:rPr>
          <w:rFonts w:ascii="Times New Roman" w:hAnsi="Times New Roman" w:cs="Times New Roman"/>
          <w:sz w:val="24"/>
        </w:rPr>
        <w:t>HWS and 55,146</w:t>
      </w:r>
      <w:r w:rsidR="00034116" w:rsidRPr="00034116">
        <w:rPr>
          <w:rFonts w:ascii="Times New Roman" w:hAnsi="Times New Roman" w:cs="Times New Roman"/>
          <w:sz w:val="24"/>
        </w:rPr>
        <w:t xml:space="preserve"> for </w:t>
      </w:r>
      <w:r w:rsidR="00FE0702" w:rsidRPr="00034116">
        <w:rPr>
          <w:rFonts w:ascii="Times New Roman" w:hAnsi="Times New Roman" w:cs="Times New Roman"/>
          <w:sz w:val="24"/>
        </w:rPr>
        <w:t>AL)</w:t>
      </w:r>
      <w:r w:rsidRPr="00034116">
        <w:rPr>
          <w:rFonts w:ascii="Times New Roman" w:hAnsi="Times New Roman" w:cs="Times New Roman"/>
          <w:sz w:val="24"/>
        </w:rPr>
        <w:t xml:space="preserve"> and serve</w:t>
      </w:r>
      <w:r w:rsidR="00B6618D" w:rsidRPr="00034116">
        <w:rPr>
          <w:rFonts w:ascii="Times New Roman" w:hAnsi="Times New Roman" w:cs="Times New Roman"/>
          <w:sz w:val="24"/>
        </w:rPr>
        <w:t>d</w:t>
      </w:r>
      <w:r w:rsidR="00034116" w:rsidRPr="00034116">
        <w:rPr>
          <w:rFonts w:ascii="Times New Roman" w:hAnsi="Times New Roman" w:cs="Times New Roman"/>
          <w:sz w:val="24"/>
        </w:rPr>
        <w:t xml:space="preserve"> a total of 91,394 </w:t>
      </w:r>
      <w:r w:rsidRPr="00034116">
        <w:rPr>
          <w:rFonts w:ascii="Times New Roman" w:hAnsi="Times New Roman" w:cs="Times New Roman"/>
          <w:sz w:val="24"/>
        </w:rPr>
        <w:t>residents</w:t>
      </w:r>
      <w:r w:rsidR="00034116" w:rsidRPr="00034116">
        <w:rPr>
          <w:rFonts w:ascii="Times New Roman" w:hAnsi="Times New Roman" w:cs="Times New Roman"/>
          <w:sz w:val="24"/>
        </w:rPr>
        <w:t xml:space="preserve"> (50,721 for HWS and 40,673 for AL)</w:t>
      </w:r>
      <w:r w:rsidRPr="00034116">
        <w:rPr>
          <w:rFonts w:ascii="Times New Roman" w:hAnsi="Times New Roman" w:cs="Times New Roman"/>
          <w:sz w:val="24"/>
        </w:rPr>
        <w:t>.</w:t>
      </w:r>
      <w:r w:rsidR="00543846" w:rsidRPr="00034116">
        <w:rPr>
          <w:rFonts w:ascii="Times New Roman" w:hAnsi="Times New Roman" w:cs="Times New Roman"/>
          <w:sz w:val="24"/>
        </w:rPr>
        <w:t xml:space="preserve"> </w:t>
      </w:r>
      <w:r w:rsidR="00D20551" w:rsidRPr="00034116">
        <w:rPr>
          <w:rFonts w:ascii="Times New Roman" w:hAnsi="Times New Roman" w:cs="Times New Roman"/>
          <w:sz w:val="24"/>
        </w:rPr>
        <w:t xml:space="preserve">This data represents </w:t>
      </w:r>
      <w:r w:rsidR="0061764F">
        <w:rPr>
          <w:rFonts w:ascii="Times New Roman" w:hAnsi="Times New Roman" w:cs="Times New Roman"/>
          <w:sz w:val="24"/>
        </w:rPr>
        <w:t>total capacity without regard to payer source.</w:t>
      </w:r>
    </w:p>
    <w:p w14:paraId="0C8BED2F" w14:textId="3BD06024" w:rsidR="007E5E79" w:rsidRDefault="00C95661" w:rsidP="007E5E79">
      <w:pPr>
        <w:rPr>
          <w:rFonts w:ascii="Times New Roman" w:hAnsi="Times New Roman" w:cs="Times New Roman"/>
          <w:sz w:val="24"/>
        </w:rPr>
      </w:pPr>
      <w:r w:rsidRPr="00F3611F">
        <w:rPr>
          <w:rFonts w:ascii="Times New Roman" w:hAnsi="Times New Roman" w:cs="Times New Roman"/>
          <w:sz w:val="24"/>
        </w:rPr>
        <w:t>There are assisted living beds in all counties except Cook and Traverse.</w:t>
      </w:r>
    </w:p>
    <w:p w14:paraId="214B5E04" w14:textId="77777777" w:rsidR="007E1C3B" w:rsidRDefault="007E1C3B" w:rsidP="007E5E79">
      <w:pPr>
        <w:rPr>
          <w:rFonts w:ascii="Times New Roman" w:hAnsi="Times New Roman" w:cs="Times New Roman"/>
          <w:sz w:val="24"/>
        </w:rPr>
      </w:pPr>
    </w:p>
    <w:p w14:paraId="790C85E6" w14:textId="7079BC9E" w:rsidR="007E1C3B" w:rsidRPr="00F3611F" w:rsidRDefault="007E1C3B" w:rsidP="007E1C3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0945E12E" wp14:editId="1ABAA2DE">
            <wp:extent cx="6724650" cy="3590925"/>
            <wp:effectExtent l="0" t="0" r="0" b="9525"/>
            <wp:docPr id="2" name="Chart 2" descr="Assisted living beds per 1,000 persons age 65+ by count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7E1C3B" w:rsidRPr="00F3611F" w:rsidSect="002D6904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61CC1" w14:textId="77777777" w:rsidR="005F16DB" w:rsidRDefault="005F16DB" w:rsidP="00F3611F">
      <w:pPr>
        <w:spacing w:after="0" w:line="240" w:lineRule="auto"/>
      </w:pPr>
      <w:r>
        <w:separator/>
      </w:r>
    </w:p>
  </w:endnote>
  <w:endnote w:type="continuationSeparator" w:id="0">
    <w:p w14:paraId="66B9128E" w14:textId="77777777" w:rsidR="005F16DB" w:rsidRDefault="005F16DB" w:rsidP="00F3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2AED7" w14:textId="77777777" w:rsidR="00F3611F" w:rsidRDefault="00F3611F" w:rsidP="00F3611F">
    <w:pPr>
      <w:tabs>
        <w:tab w:val="left" w:pos="3240"/>
      </w:tabs>
      <w:jc w:val="center"/>
    </w:pPr>
  </w:p>
  <w:p w14:paraId="74AA2D1E" w14:textId="77777777" w:rsidR="00F3611F" w:rsidRPr="00F3611F" w:rsidRDefault="005F16DB" w:rsidP="00F3611F">
    <w:pPr>
      <w:tabs>
        <w:tab w:val="left" w:pos="3240"/>
      </w:tabs>
      <w:jc w:val="center"/>
      <w:rPr>
        <w:iCs/>
        <w:sz w:val="18"/>
        <w:szCs w:val="18"/>
      </w:rPr>
    </w:pPr>
    <w:hyperlink r:id="rId1" w:tgtFrame="_blank" w:tooltip="Follow this link to the Minnesota Department of Human Services website." w:history="1">
      <w:proofErr w:type="gramStart"/>
      <w:r w:rsidR="00F3611F" w:rsidRPr="000E7A79">
        <w:rPr>
          <w:rStyle w:val="Hyperlink"/>
          <w:iCs/>
          <w:sz w:val="18"/>
          <w:szCs w:val="18"/>
        </w:rPr>
        <w:t>mn.gov/</w:t>
      </w:r>
      <w:proofErr w:type="spellStart"/>
      <w:r w:rsidR="00F3611F" w:rsidRPr="000E7A79">
        <w:rPr>
          <w:rStyle w:val="Hyperlink"/>
          <w:iCs/>
          <w:sz w:val="18"/>
          <w:szCs w:val="18"/>
        </w:rPr>
        <w:t>dhs</w:t>
      </w:r>
      <w:proofErr w:type="spellEnd"/>
      <w:proofErr w:type="gramEnd"/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E3B2B" w14:textId="77777777" w:rsidR="00F3611F" w:rsidRDefault="00F3611F" w:rsidP="00F3611F">
    <w:pPr>
      <w:pStyle w:val="Footer"/>
      <w:jc w:val="center"/>
    </w:pPr>
  </w:p>
  <w:p w14:paraId="0550B78B" w14:textId="77777777" w:rsidR="00F3611F" w:rsidRPr="00F3611F" w:rsidRDefault="005F16DB" w:rsidP="00F3611F">
    <w:pPr>
      <w:tabs>
        <w:tab w:val="left" w:pos="3240"/>
      </w:tabs>
      <w:jc w:val="center"/>
      <w:rPr>
        <w:iCs/>
        <w:sz w:val="18"/>
        <w:szCs w:val="18"/>
      </w:rPr>
    </w:pPr>
    <w:hyperlink r:id="rId1" w:tgtFrame="_blank" w:tooltip="Follow this link to the Minnesota Department of Human Services website." w:history="1">
      <w:proofErr w:type="gramStart"/>
      <w:r w:rsidR="00F3611F" w:rsidRPr="000E7A79">
        <w:rPr>
          <w:rStyle w:val="Hyperlink"/>
          <w:iCs/>
          <w:sz w:val="18"/>
          <w:szCs w:val="18"/>
        </w:rPr>
        <w:t>mn.gov/</w:t>
      </w:r>
      <w:proofErr w:type="spellStart"/>
      <w:r w:rsidR="00F3611F" w:rsidRPr="000E7A79">
        <w:rPr>
          <w:rStyle w:val="Hyperlink"/>
          <w:iCs/>
          <w:sz w:val="18"/>
          <w:szCs w:val="18"/>
        </w:rPr>
        <w:t>dhs</w:t>
      </w:r>
      <w:proofErr w:type="spellEnd"/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608D3" w14:textId="77777777" w:rsidR="005F16DB" w:rsidRDefault="005F16DB" w:rsidP="00F3611F">
      <w:pPr>
        <w:spacing w:after="0" w:line="240" w:lineRule="auto"/>
      </w:pPr>
      <w:r>
        <w:separator/>
      </w:r>
    </w:p>
  </w:footnote>
  <w:footnote w:type="continuationSeparator" w:id="0">
    <w:p w14:paraId="33C184DA" w14:textId="77777777" w:rsidR="005F16DB" w:rsidRDefault="005F16DB" w:rsidP="00F3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9F06" w14:textId="6AA00C11" w:rsidR="00F3611F" w:rsidRDefault="002D6904">
    <w:pPr>
      <w:pStyle w:val="Header"/>
    </w:pPr>
    <w:r>
      <w:rPr>
        <w:noProof/>
        <w:color w:val="000000" w:themeColor="text1"/>
      </w:rPr>
      <w:drawing>
        <wp:inline distT="0" distB="0" distL="0" distR="0" wp14:anchorId="18FBEAEE" wp14:editId="13705E84">
          <wp:extent cx="3619500" cy="1190872"/>
          <wp:effectExtent l="0" t="0" r="0" b="9525"/>
          <wp:docPr id="9" name="Picture 9" descr="Minnesota Department of Human Services logo" title="MN D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s-colo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117" cy="1208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79"/>
    <w:rsid w:val="0002476A"/>
    <w:rsid w:val="00034116"/>
    <w:rsid w:val="00064390"/>
    <w:rsid w:val="00156857"/>
    <w:rsid w:val="00222916"/>
    <w:rsid w:val="002D6904"/>
    <w:rsid w:val="00380A51"/>
    <w:rsid w:val="00481819"/>
    <w:rsid w:val="004922BB"/>
    <w:rsid w:val="00493475"/>
    <w:rsid w:val="004A3F4A"/>
    <w:rsid w:val="00543846"/>
    <w:rsid w:val="0056088D"/>
    <w:rsid w:val="005F16DB"/>
    <w:rsid w:val="0061764F"/>
    <w:rsid w:val="00694728"/>
    <w:rsid w:val="00701CF4"/>
    <w:rsid w:val="00725C39"/>
    <w:rsid w:val="007379FB"/>
    <w:rsid w:val="007853E2"/>
    <w:rsid w:val="00797356"/>
    <w:rsid w:val="007E1C3B"/>
    <w:rsid w:val="007E5E79"/>
    <w:rsid w:val="00804DA4"/>
    <w:rsid w:val="008856F0"/>
    <w:rsid w:val="00895556"/>
    <w:rsid w:val="008A692F"/>
    <w:rsid w:val="008C4BC7"/>
    <w:rsid w:val="009329BF"/>
    <w:rsid w:val="00975B86"/>
    <w:rsid w:val="009E1FF5"/>
    <w:rsid w:val="00B6618D"/>
    <w:rsid w:val="00B757E1"/>
    <w:rsid w:val="00C95661"/>
    <w:rsid w:val="00CB6173"/>
    <w:rsid w:val="00D20551"/>
    <w:rsid w:val="00D25B22"/>
    <w:rsid w:val="00D5390D"/>
    <w:rsid w:val="00F20AAD"/>
    <w:rsid w:val="00F3611F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9D7BE"/>
  <w15:chartTrackingRefBased/>
  <w15:docId w15:val="{49C8D914-A798-4220-B069-3C4299F5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1F"/>
  </w:style>
  <w:style w:type="paragraph" w:styleId="Footer">
    <w:name w:val="footer"/>
    <w:basedOn w:val="Normal"/>
    <w:link w:val="FooterChar"/>
    <w:uiPriority w:val="99"/>
    <w:unhideWhenUsed/>
    <w:rsid w:val="00F3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1F"/>
  </w:style>
  <w:style w:type="character" w:styleId="Hyperlink">
    <w:name w:val="Hyperlink"/>
    <w:rsid w:val="00F361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7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0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3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n.gov/dh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n.gov/d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n-dhs1.co.dhs\DHSHome\HomeShr2\pwgvc43\maps\al\Copy%20of%20HWS-for-CPdec201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Assisted Living Beds per 1,000 Persons Age 65+ by County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alchart!$I$2</c:f>
              <c:strCache>
                <c:ptCount val="1"/>
                <c:pt idx="0">
                  <c:v>count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alchart!$J$1:$N$1</c:f>
              <c:strCache>
                <c:ptCount val="5"/>
                <c:pt idx="0">
                  <c:v>0</c:v>
                </c:pt>
                <c:pt idx="1">
                  <c:v>1 to 50</c:v>
                </c:pt>
                <c:pt idx="2">
                  <c:v>51 to 100</c:v>
                </c:pt>
                <c:pt idx="3">
                  <c:v>101 to 150</c:v>
                </c:pt>
                <c:pt idx="4">
                  <c:v>151 or Greater</c:v>
                </c:pt>
              </c:strCache>
            </c:strRef>
          </c:cat>
          <c:val>
            <c:numRef>
              <c:f>alchart!$J$2:$N$2</c:f>
              <c:numCache>
                <c:formatCode>General</c:formatCode>
                <c:ptCount val="5"/>
                <c:pt idx="0">
                  <c:v>2</c:v>
                </c:pt>
                <c:pt idx="1">
                  <c:v>42</c:v>
                </c:pt>
                <c:pt idx="2">
                  <c:v>39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669344"/>
        <c:axId val="115667776"/>
      </c:barChart>
      <c:catAx>
        <c:axId val="115669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Beds per 1,000 Persons Age 65+</a:t>
                </a:r>
              </a:p>
            </c:rich>
          </c:tx>
          <c:layout>
            <c:manualLayout>
              <c:xMode val="edge"/>
              <c:yMode val="edge"/>
              <c:x val="0.27256132983377079"/>
              <c:y val="0.912407070532709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667776"/>
        <c:crosses val="autoZero"/>
        <c:auto val="1"/>
        <c:lblAlgn val="ctr"/>
        <c:lblOffset val="100"/>
        <c:noMultiLvlLbl val="0"/>
      </c:catAx>
      <c:valAx>
        <c:axId val="1156677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Counties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6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0.69913</cdr:x>
      <cdr:y>0.89095</cdr:y>
    </cdr:from>
    <cdr:to>
      <cdr:x>0.99304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95530" y="3019413"/>
          <a:ext cx="1679714" cy="369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800"/>
            <a:t>Data from MDH, Map by DHS</a:t>
          </a:r>
        </a:p>
        <a:p xmlns:a="http://schemas.openxmlformats.org/drawingml/2006/main">
          <a:r>
            <a:rPr lang="en-US" sz="800"/>
            <a:t> June 2016</a:t>
          </a:r>
        </a:p>
        <a:p xmlns:a="http://schemas.openxmlformats.org/drawingml/2006/main">
          <a:endParaRPr lang="en-U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1C75-E26C-4191-8B1D-A7BB77A4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Mark</dc:creator>
  <cp:keywords/>
  <dc:description/>
  <cp:lastModifiedBy>Schulz, Mark</cp:lastModifiedBy>
  <cp:revision>5</cp:revision>
  <dcterms:created xsi:type="dcterms:W3CDTF">2017-01-17T17:39:00Z</dcterms:created>
  <dcterms:modified xsi:type="dcterms:W3CDTF">2017-01-17T18:02:00Z</dcterms:modified>
</cp:coreProperties>
</file>