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BA290A">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BA290A">
        <w:fldChar w:fldCharType="begin"/>
      </w:r>
      <w:r>
        <w:instrText>ADVANCE \u14</w:instrText>
      </w:r>
      <w:r w:rsidR="00BA290A">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9E6C5F">
        <w:t>1362</w:t>
      </w:r>
      <w:r>
        <w:tab/>
      </w:r>
      <w:r>
        <w:rPr>
          <w:rFonts w:ascii="Arial" w:hAnsi="Arial"/>
          <w:b/>
          <w:sz w:val="28"/>
        </w:rPr>
        <w:t>DATE:</w:t>
      </w:r>
      <w:r>
        <w:rPr>
          <w:rFonts w:ascii="Arial" w:hAnsi="Arial"/>
          <w:b/>
          <w:sz w:val="28"/>
        </w:rPr>
        <w:tab/>
      </w:r>
      <w:r w:rsidR="008B2815">
        <w:rPr>
          <w:bCs/>
        </w:rPr>
        <w:t>May 2</w:t>
      </w:r>
      <w:r w:rsidR="009E6C5F">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8B2815">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9E6C5F">
        <w:rPr>
          <w:bCs/>
        </w:rPr>
        <w:t>Kieffer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9E6C5F">
        <w:rPr>
          <w:bCs/>
        </w:rPr>
        <w:t>Workers Compensation Advisory Council Recommendations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AC3527">
        <w:rPr>
          <w:sz w:val="22"/>
        </w:rPr>
        <w:t>Anita Neumann (651-296-5056)</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BA290A">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9E6C5F">
      <w:pPr>
        <w:tabs>
          <w:tab w:val="left" w:pos="-360"/>
          <w:tab w:val="left" w:pos="0"/>
          <w:tab w:val="left" w:pos="1080"/>
        </w:tabs>
        <w:spacing w:before="100" w:beforeAutospacing="1" w:after="100" w:afterAutospacing="1"/>
        <w:ind w:left="1080" w:right="1080"/>
      </w:pPr>
      <w:proofErr w:type="gramStart"/>
      <w:r>
        <w:t>Proposes the recommendations of the workers compensation advisory council.</w:t>
      </w:r>
      <w:proofErr w:type="gramEnd"/>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9E6C5F" w:rsidRDefault="009E6C5F">
            <w:pPr>
              <w:pStyle w:val="Sectionnumber"/>
              <w:numPr>
                <w:ilvl w:val="0"/>
                <w:numId w:val="0"/>
              </w:numPr>
              <w:rPr>
                <w:b w:val="0"/>
              </w:rPr>
            </w:pPr>
            <w:r>
              <w:rPr>
                <w:bCs/>
              </w:rPr>
              <w:t xml:space="preserve">Chief administrative law judge.  </w:t>
            </w:r>
            <w:r>
              <w:rPr>
                <w:b w:val="0"/>
                <w:bCs/>
              </w:rPr>
              <w:t>Technical change to reference Office of Administrative Hearings.</w:t>
            </w:r>
          </w:p>
        </w:tc>
      </w:tr>
      <w:tr w:rsidR="009E6C5F">
        <w:tc>
          <w:tcPr>
            <w:tcW w:w="1195" w:type="dxa"/>
            <w:tcMar>
              <w:right w:w="43" w:type="dxa"/>
            </w:tcMar>
          </w:tcPr>
          <w:p w:rsidR="009E6C5F" w:rsidRDefault="009E6C5F">
            <w:pPr>
              <w:pStyle w:val="Sectionnumber"/>
            </w:pPr>
          </w:p>
        </w:tc>
        <w:tc>
          <w:tcPr>
            <w:tcW w:w="9101" w:type="dxa"/>
          </w:tcPr>
          <w:p w:rsidR="009E6C5F" w:rsidRPr="009E6C5F" w:rsidRDefault="009E6C5F" w:rsidP="00B05D52">
            <w:pPr>
              <w:pStyle w:val="Sectionnumber"/>
              <w:numPr>
                <w:ilvl w:val="0"/>
                <w:numId w:val="0"/>
              </w:numPr>
              <w:rPr>
                <w:b w:val="0"/>
                <w:bCs/>
              </w:rPr>
            </w:pPr>
            <w:r>
              <w:rPr>
                <w:bCs/>
              </w:rPr>
              <w:t xml:space="preserve">Administrative law judges and compensation judges.  </w:t>
            </w:r>
            <w:r>
              <w:rPr>
                <w:b w:val="0"/>
                <w:bCs/>
              </w:rPr>
              <w:t>Removes language that provided for the chief administrative law judge to establish a training system for work</w:t>
            </w:r>
            <w:r w:rsidR="00B05D52">
              <w:rPr>
                <w:b w:val="0"/>
                <w:bCs/>
              </w:rPr>
              <w:t>ers</w:t>
            </w:r>
            <w:r>
              <w:rPr>
                <w:b w:val="0"/>
                <w:bCs/>
              </w:rPr>
              <w:t xml:space="preserve"> comp</w:t>
            </w:r>
            <w:r w:rsidR="00B05D52">
              <w:rPr>
                <w:b w:val="0"/>
                <w:bCs/>
              </w:rPr>
              <w:t>ensation</w:t>
            </w:r>
            <w:r>
              <w:rPr>
                <w:b w:val="0"/>
                <w:bCs/>
              </w:rPr>
              <w:t xml:space="preserve"> or administrative law judges to conduct hearings in areas other than that for which they were originally appointed and specifies that only compensation judges may conduct administrative conferences, hearing</w:t>
            </w:r>
            <w:r w:rsidR="00B05D52">
              <w:rPr>
                <w:b w:val="0"/>
                <w:bCs/>
              </w:rPr>
              <w:t>s</w:t>
            </w:r>
            <w:r>
              <w:rPr>
                <w:b w:val="0"/>
                <w:bCs/>
              </w:rPr>
              <w:t xml:space="preserve"> or other work</w:t>
            </w:r>
            <w:r w:rsidR="00B05D52">
              <w:rPr>
                <w:b w:val="0"/>
                <w:bCs/>
              </w:rPr>
              <w:t>ers</w:t>
            </w:r>
            <w:r>
              <w:rPr>
                <w:b w:val="0"/>
                <w:bCs/>
              </w:rPr>
              <w:t xml:space="preserve"> comp</w:t>
            </w:r>
            <w:r w:rsidR="00B05D52">
              <w:rPr>
                <w:b w:val="0"/>
                <w:bCs/>
              </w:rPr>
              <w:t>ensation</w:t>
            </w:r>
            <w:r>
              <w:rPr>
                <w:b w:val="0"/>
                <w:bCs/>
              </w:rPr>
              <w:t xml:space="preserve"> proceedings within the jurisdiction of the Office of Administrative Hearings under </w:t>
            </w:r>
            <w:r w:rsidR="00B05D52">
              <w:rPr>
                <w:b w:val="0"/>
                <w:bCs/>
              </w:rPr>
              <w:t>c</w:t>
            </w:r>
            <w:r>
              <w:rPr>
                <w:b w:val="0"/>
                <w:bCs/>
              </w:rPr>
              <w:t>hapter 176, unless specifically required under the Administrative Procedures Act.</w:t>
            </w:r>
          </w:p>
        </w:tc>
      </w:tr>
      <w:tr w:rsidR="009E6C5F">
        <w:tc>
          <w:tcPr>
            <w:tcW w:w="1195" w:type="dxa"/>
            <w:tcMar>
              <w:right w:w="43" w:type="dxa"/>
            </w:tcMar>
          </w:tcPr>
          <w:p w:rsidR="009E6C5F" w:rsidRDefault="009E6C5F">
            <w:pPr>
              <w:pStyle w:val="Sectionnumber"/>
            </w:pPr>
          </w:p>
        </w:tc>
        <w:tc>
          <w:tcPr>
            <w:tcW w:w="9101" w:type="dxa"/>
          </w:tcPr>
          <w:p w:rsidR="009E6C5F" w:rsidRPr="009E6C5F" w:rsidRDefault="009E6C5F" w:rsidP="00B05D52">
            <w:pPr>
              <w:pStyle w:val="Sectionnumber"/>
              <w:numPr>
                <w:ilvl w:val="0"/>
                <w:numId w:val="0"/>
              </w:numPr>
              <w:rPr>
                <w:b w:val="0"/>
                <w:bCs/>
              </w:rPr>
            </w:pPr>
            <w:r>
              <w:rPr>
                <w:bCs/>
              </w:rPr>
              <w:t xml:space="preserve">Temporary administrative law judges.  </w:t>
            </w:r>
            <w:r>
              <w:rPr>
                <w:b w:val="0"/>
                <w:bCs/>
              </w:rPr>
              <w:t>Separates requirements for temporary administrative law judges from those for compensation judges.  Compensation judges must be state employees except when all available regularly appointed compensation judges are disqualified from a specific case under the Code of Judicial Conduct.  In such case, the chief admin</w:t>
            </w:r>
            <w:r w:rsidR="0092243C">
              <w:rPr>
                <w:b w:val="0"/>
                <w:bCs/>
              </w:rPr>
              <w:t>is</w:t>
            </w:r>
            <w:r>
              <w:rPr>
                <w:b w:val="0"/>
                <w:bCs/>
              </w:rPr>
              <w:t>trative law judge may contract with a work</w:t>
            </w:r>
            <w:r w:rsidR="00B05D52">
              <w:rPr>
                <w:b w:val="0"/>
                <w:bCs/>
              </w:rPr>
              <w:t>ers</w:t>
            </w:r>
            <w:r>
              <w:rPr>
                <w:b w:val="0"/>
                <w:bCs/>
              </w:rPr>
              <w:t xml:space="preserve"> comp attorney or former work</w:t>
            </w:r>
            <w:r w:rsidR="00B05D52">
              <w:rPr>
                <w:b w:val="0"/>
                <w:bCs/>
              </w:rPr>
              <w:t>ers</w:t>
            </w:r>
            <w:r>
              <w:rPr>
                <w:b w:val="0"/>
                <w:bCs/>
              </w:rPr>
              <w:t xml:space="preserve"> comp judge to serve as a compensation judge for that particular case.</w:t>
            </w:r>
          </w:p>
        </w:tc>
      </w:tr>
      <w:tr w:rsidR="0092243C">
        <w:tc>
          <w:tcPr>
            <w:tcW w:w="1195" w:type="dxa"/>
            <w:tcMar>
              <w:right w:w="43" w:type="dxa"/>
            </w:tcMar>
          </w:tcPr>
          <w:p w:rsidR="0092243C" w:rsidRDefault="0092243C">
            <w:pPr>
              <w:pStyle w:val="Sectionnumber"/>
            </w:pPr>
          </w:p>
        </w:tc>
        <w:tc>
          <w:tcPr>
            <w:tcW w:w="9101" w:type="dxa"/>
          </w:tcPr>
          <w:p w:rsidR="0092243C" w:rsidRPr="0092243C" w:rsidRDefault="0092243C" w:rsidP="0092243C">
            <w:pPr>
              <w:pStyle w:val="Sectionnumber"/>
              <w:numPr>
                <w:ilvl w:val="0"/>
                <w:numId w:val="0"/>
              </w:numPr>
              <w:rPr>
                <w:b w:val="0"/>
                <w:bCs/>
              </w:rPr>
            </w:pPr>
            <w:r>
              <w:rPr>
                <w:bCs/>
              </w:rPr>
              <w:t xml:space="preserve">Hearings before administrative law judge.  </w:t>
            </w:r>
            <w:r>
              <w:rPr>
                <w:b w:val="0"/>
                <w:bCs/>
              </w:rPr>
              <w:t>Removes reference to an administrative law judge for the purposes of hearings under chapter 176.</w:t>
            </w:r>
          </w:p>
        </w:tc>
      </w:tr>
      <w:tr w:rsidR="0092243C">
        <w:tc>
          <w:tcPr>
            <w:tcW w:w="1195" w:type="dxa"/>
            <w:tcMar>
              <w:right w:w="43" w:type="dxa"/>
            </w:tcMar>
          </w:tcPr>
          <w:p w:rsidR="0092243C" w:rsidRDefault="0092243C">
            <w:pPr>
              <w:pStyle w:val="Sectionnumber"/>
            </w:pPr>
          </w:p>
        </w:tc>
        <w:tc>
          <w:tcPr>
            <w:tcW w:w="9101" w:type="dxa"/>
          </w:tcPr>
          <w:p w:rsidR="0092243C" w:rsidRPr="0092243C" w:rsidRDefault="0092243C" w:rsidP="0092243C">
            <w:pPr>
              <w:pStyle w:val="Sectionnumber"/>
              <w:numPr>
                <w:ilvl w:val="0"/>
                <w:numId w:val="0"/>
              </w:numPr>
              <w:rPr>
                <w:b w:val="0"/>
                <w:bCs/>
              </w:rPr>
            </w:pPr>
            <w:r>
              <w:rPr>
                <w:bCs/>
              </w:rPr>
              <w:t xml:space="preserve">Scope.  </w:t>
            </w:r>
            <w:r>
              <w:rPr>
                <w:b w:val="0"/>
                <w:bCs/>
              </w:rPr>
              <w:t xml:space="preserve">Removes reference to “commissioner’s designee” and replaces it with reference to </w:t>
            </w:r>
            <w:r>
              <w:rPr>
                <w:b w:val="0"/>
                <w:bCs/>
              </w:rPr>
              <w:lastRenderedPageBreak/>
              <w:t>“compensation judge” for workers compensation determinations and medical disputes.</w:t>
            </w:r>
          </w:p>
        </w:tc>
      </w:tr>
      <w:tr w:rsidR="0092243C">
        <w:tc>
          <w:tcPr>
            <w:tcW w:w="1195" w:type="dxa"/>
            <w:tcMar>
              <w:right w:w="43" w:type="dxa"/>
            </w:tcMar>
          </w:tcPr>
          <w:p w:rsidR="0092243C" w:rsidRDefault="0092243C">
            <w:pPr>
              <w:pStyle w:val="Sectionnumber"/>
            </w:pPr>
          </w:p>
        </w:tc>
        <w:tc>
          <w:tcPr>
            <w:tcW w:w="9101" w:type="dxa"/>
          </w:tcPr>
          <w:p w:rsidR="0092243C" w:rsidRPr="0092243C" w:rsidRDefault="0092243C" w:rsidP="0092243C">
            <w:pPr>
              <w:pStyle w:val="Sectionnumber"/>
              <w:numPr>
                <w:ilvl w:val="0"/>
                <w:numId w:val="0"/>
              </w:numPr>
              <w:rPr>
                <w:b w:val="0"/>
                <w:bCs/>
              </w:rPr>
            </w:pPr>
            <w:r>
              <w:rPr>
                <w:bCs/>
              </w:rPr>
              <w:t xml:space="preserve">Conference.  </w:t>
            </w:r>
            <w:r>
              <w:rPr>
                <w:b w:val="0"/>
                <w:bCs/>
              </w:rPr>
              <w:t>Adds compensation judges to administrative conference requirements.</w:t>
            </w:r>
          </w:p>
        </w:tc>
      </w:tr>
      <w:tr w:rsidR="0092243C">
        <w:tc>
          <w:tcPr>
            <w:tcW w:w="1195" w:type="dxa"/>
            <w:tcMar>
              <w:right w:w="43" w:type="dxa"/>
            </w:tcMar>
          </w:tcPr>
          <w:p w:rsidR="0092243C" w:rsidRDefault="0092243C">
            <w:pPr>
              <w:pStyle w:val="Sectionnumber"/>
            </w:pPr>
          </w:p>
        </w:tc>
        <w:tc>
          <w:tcPr>
            <w:tcW w:w="9101" w:type="dxa"/>
          </w:tcPr>
          <w:p w:rsidR="0092243C" w:rsidRPr="0092243C" w:rsidRDefault="0092243C" w:rsidP="0092243C">
            <w:pPr>
              <w:pStyle w:val="Sectionnumber"/>
              <w:numPr>
                <w:ilvl w:val="0"/>
                <w:numId w:val="0"/>
              </w:numPr>
              <w:rPr>
                <w:b w:val="0"/>
                <w:bCs/>
              </w:rPr>
            </w:pPr>
            <w:r>
              <w:rPr>
                <w:bCs/>
              </w:rPr>
              <w:t xml:space="preserve">Decision.  </w:t>
            </w:r>
            <w:r>
              <w:rPr>
                <w:b w:val="0"/>
                <w:bCs/>
              </w:rPr>
              <w:t xml:space="preserve">Removes authority for commissioner’s designee to issue written decisions and replaces it with authority for </w:t>
            </w:r>
            <w:r w:rsidR="0055588A">
              <w:rPr>
                <w:b w:val="0"/>
                <w:bCs/>
              </w:rPr>
              <w:t>the commissioner</w:t>
            </w:r>
            <w:r>
              <w:rPr>
                <w:b w:val="0"/>
                <w:bCs/>
              </w:rPr>
              <w:t xml:space="preserve"> or compensation judge, unless the matter is referred for other proceedings.</w:t>
            </w:r>
          </w:p>
        </w:tc>
      </w:tr>
      <w:tr w:rsidR="0092243C">
        <w:tc>
          <w:tcPr>
            <w:tcW w:w="1195" w:type="dxa"/>
            <w:tcMar>
              <w:right w:w="43" w:type="dxa"/>
            </w:tcMar>
          </w:tcPr>
          <w:p w:rsidR="0092243C" w:rsidRDefault="0092243C">
            <w:pPr>
              <w:pStyle w:val="Sectionnumber"/>
            </w:pPr>
          </w:p>
        </w:tc>
        <w:tc>
          <w:tcPr>
            <w:tcW w:w="9101" w:type="dxa"/>
          </w:tcPr>
          <w:p w:rsidR="0092243C" w:rsidRDefault="0092243C" w:rsidP="00B05D52">
            <w:pPr>
              <w:pStyle w:val="Sectionnumber"/>
              <w:numPr>
                <w:ilvl w:val="0"/>
                <w:numId w:val="0"/>
              </w:numPr>
              <w:rPr>
                <w:bCs/>
              </w:rPr>
            </w:pPr>
            <w:r>
              <w:rPr>
                <w:bCs/>
              </w:rPr>
              <w:t xml:space="preserve">Penalty.   </w:t>
            </w:r>
            <w:r>
              <w:rPr>
                <w:b w:val="0"/>
                <w:bCs/>
              </w:rPr>
              <w:t>Removes authority for commissioner’s designee to assess a penalty</w:t>
            </w:r>
            <w:r w:rsidR="0055588A">
              <w:rPr>
                <w:b w:val="0"/>
                <w:bCs/>
              </w:rPr>
              <w:t xml:space="preserve"> and</w:t>
            </w:r>
            <w:r>
              <w:rPr>
                <w:b w:val="0"/>
                <w:bCs/>
              </w:rPr>
              <w:t xml:space="preserve"> replaces it with authority for </w:t>
            </w:r>
            <w:r w:rsidR="0055588A">
              <w:rPr>
                <w:b w:val="0"/>
                <w:bCs/>
              </w:rPr>
              <w:t>the commissioner</w:t>
            </w:r>
            <w:r>
              <w:rPr>
                <w:b w:val="0"/>
                <w:bCs/>
              </w:rPr>
              <w:t xml:space="preserve"> or compensation judge.</w:t>
            </w:r>
          </w:p>
        </w:tc>
      </w:tr>
      <w:tr w:rsidR="0092243C">
        <w:tc>
          <w:tcPr>
            <w:tcW w:w="1195" w:type="dxa"/>
            <w:tcMar>
              <w:right w:w="43" w:type="dxa"/>
            </w:tcMar>
          </w:tcPr>
          <w:p w:rsidR="0092243C" w:rsidRDefault="0092243C">
            <w:pPr>
              <w:pStyle w:val="Sectionnumber"/>
            </w:pPr>
          </w:p>
        </w:tc>
        <w:tc>
          <w:tcPr>
            <w:tcW w:w="9101" w:type="dxa"/>
          </w:tcPr>
          <w:p w:rsidR="0092243C" w:rsidRDefault="0092243C" w:rsidP="00B05D52">
            <w:pPr>
              <w:pStyle w:val="Sectionnumber"/>
              <w:numPr>
                <w:ilvl w:val="0"/>
                <w:numId w:val="0"/>
              </w:numPr>
              <w:rPr>
                <w:bCs/>
              </w:rPr>
            </w:pPr>
            <w:r>
              <w:rPr>
                <w:bCs/>
              </w:rPr>
              <w:t xml:space="preserve">Request for hearing.  </w:t>
            </w:r>
            <w:r>
              <w:rPr>
                <w:b w:val="0"/>
                <w:bCs/>
              </w:rPr>
              <w:t>Removes reference to commissioner’s designee in regard to decisions for which a formal hearing may be requested</w:t>
            </w:r>
            <w:r w:rsidR="0055588A">
              <w:rPr>
                <w:b w:val="0"/>
                <w:bCs/>
              </w:rPr>
              <w:t xml:space="preserve"> and</w:t>
            </w:r>
            <w:r>
              <w:rPr>
                <w:b w:val="0"/>
                <w:bCs/>
              </w:rPr>
              <w:t xml:space="preserve"> replaces it with references to the   commissioner or compensation judge.  Also provides that when an administrative decision has been issued by a compensation judge, the formal hearing must be held before a compensation judge other than the one presiding over the administrative conference.</w:t>
            </w:r>
          </w:p>
        </w:tc>
      </w:tr>
      <w:tr w:rsidR="007471AB">
        <w:tc>
          <w:tcPr>
            <w:tcW w:w="1195" w:type="dxa"/>
            <w:tcMar>
              <w:right w:w="43" w:type="dxa"/>
            </w:tcMar>
          </w:tcPr>
          <w:p w:rsidR="007471AB" w:rsidRDefault="007471AB">
            <w:pPr>
              <w:pStyle w:val="Sectionnumber"/>
            </w:pPr>
          </w:p>
        </w:tc>
        <w:tc>
          <w:tcPr>
            <w:tcW w:w="9101" w:type="dxa"/>
          </w:tcPr>
          <w:p w:rsidR="007471AB" w:rsidRPr="007471AB" w:rsidRDefault="007471AB" w:rsidP="0092243C">
            <w:pPr>
              <w:pStyle w:val="Sectionnumber"/>
              <w:numPr>
                <w:ilvl w:val="0"/>
                <w:numId w:val="0"/>
              </w:numPr>
              <w:rPr>
                <w:b w:val="0"/>
                <w:bCs/>
              </w:rPr>
            </w:pPr>
            <w:r>
              <w:rPr>
                <w:bCs/>
              </w:rPr>
              <w:t xml:space="preserve">Denial of primary liability.  </w:t>
            </w:r>
            <w:r>
              <w:rPr>
                <w:b w:val="0"/>
                <w:bCs/>
              </w:rPr>
              <w:t>Strikes statutory reference.</w:t>
            </w:r>
          </w:p>
        </w:tc>
      </w:tr>
      <w:tr w:rsidR="007471AB">
        <w:tc>
          <w:tcPr>
            <w:tcW w:w="1195" w:type="dxa"/>
            <w:tcMar>
              <w:right w:w="43" w:type="dxa"/>
            </w:tcMar>
          </w:tcPr>
          <w:p w:rsidR="007471AB" w:rsidRDefault="007471AB">
            <w:pPr>
              <w:pStyle w:val="Sectionnumber"/>
            </w:pPr>
          </w:p>
        </w:tc>
        <w:tc>
          <w:tcPr>
            <w:tcW w:w="9101" w:type="dxa"/>
          </w:tcPr>
          <w:p w:rsidR="007471AB" w:rsidRPr="007471AB" w:rsidRDefault="007471AB" w:rsidP="007471AB">
            <w:pPr>
              <w:pStyle w:val="Sectionnumber"/>
              <w:numPr>
                <w:ilvl w:val="0"/>
                <w:numId w:val="0"/>
              </w:numPr>
              <w:rPr>
                <w:b w:val="0"/>
                <w:bCs/>
              </w:rPr>
            </w:pPr>
            <w:r>
              <w:rPr>
                <w:bCs/>
              </w:rPr>
              <w:t xml:space="preserve">Subsequent causation issues.  </w:t>
            </w:r>
            <w:r>
              <w:rPr>
                <w:b w:val="0"/>
                <w:bCs/>
              </w:rPr>
              <w:t xml:space="preserve">Adds compensation judge to </w:t>
            </w:r>
            <w:r w:rsidR="00B05D52">
              <w:rPr>
                <w:b w:val="0"/>
                <w:bCs/>
              </w:rPr>
              <w:t xml:space="preserve">the </w:t>
            </w:r>
            <w:r>
              <w:rPr>
                <w:b w:val="0"/>
                <w:bCs/>
              </w:rPr>
              <w:t>list of those who may make a subsequent causation determination subject to a de novo hearing.  Under current law, only the commissioner may make a subsequent determination.</w:t>
            </w:r>
          </w:p>
        </w:tc>
      </w:tr>
      <w:tr w:rsidR="007471AB">
        <w:tc>
          <w:tcPr>
            <w:tcW w:w="1195" w:type="dxa"/>
            <w:tcMar>
              <w:right w:w="43" w:type="dxa"/>
            </w:tcMar>
          </w:tcPr>
          <w:p w:rsidR="007471AB" w:rsidRDefault="007471AB">
            <w:pPr>
              <w:pStyle w:val="Sectionnumber"/>
            </w:pPr>
          </w:p>
        </w:tc>
        <w:tc>
          <w:tcPr>
            <w:tcW w:w="9101" w:type="dxa"/>
          </w:tcPr>
          <w:p w:rsidR="007471AB" w:rsidRPr="007471AB" w:rsidRDefault="007471AB" w:rsidP="007471AB">
            <w:pPr>
              <w:pStyle w:val="Sectionnumber"/>
              <w:numPr>
                <w:ilvl w:val="0"/>
                <w:numId w:val="0"/>
              </w:numPr>
              <w:rPr>
                <w:b w:val="0"/>
                <w:bCs/>
              </w:rPr>
            </w:pPr>
            <w:r>
              <w:rPr>
                <w:bCs/>
              </w:rPr>
              <w:t xml:space="preserve">Expedited hearing before compensation judge.  </w:t>
            </w:r>
            <w:r>
              <w:rPr>
                <w:b w:val="0"/>
                <w:bCs/>
              </w:rPr>
              <w:t>Makes a reference change by eliminating reference to the commissioner’s decision and replaces it with reference to an interim administrative decision.  Also specifies that when a compensation judge issued the interim administrative decision, the de novo hearing must be held before a compensation judge other than the one presiding over the administrative conference.</w:t>
            </w:r>
          </w:p>
        </w:tc>
      </w:tr>
      <w:tr w:rsidR="007471AB">
        <w:tc>
          <w:tcPr>
            <w:tcW w:w="1195" w:type="dxa"/>
            <w:tcMar>
              <w:right w:w="43" w:type="dxa"/>
            </w:tcMar>
          </w:tcPr>
          <w:p w:rsidR="007471AB" w:rsidRDefault="007471AB">
            <w:pPr>
              <w:pStyle w:val="Sectionnumber"/>
            </w:pPr>
          </w:p>
        </w:tc>
        <w:tc>
          <w:tcPr>
            <w:tcW w:w="9101" w:type="dxa"/>
          </w:tcPr>
          <w:p w:rsidR="007471AB" w:rsidRPr="007471AB" w:rsidRDefault="007471AB" w:rsidP="007471AB">
            <w:pPr>
              <w:pStyle w:val="Sectionnumber"/>
              <w:numPr>
                <w:ilvl w:val="0"/>
                <w:numId w:val="0"/>
              </w:numPr>
              <w:rPr>
                <w:b w:val="0"/>
                <w:bCs/>
              </w:rPr>
            </w:pPr>
            <w:r>
              <w:rPr>
                <w:bCs/>
              </w:rPr>
              <w:t xml:space="preserve">Hearings on petitions.  </w:t>
            </w:r>
            <w:r>
              <w:rPr>
                <w:b w:val="0"/>
                <w:bCs/>
              </w:rPr>
              <w:t>Requires the commissioner to refer all petitions involving issues over which the commissioner lacks jurisdiction to the Office of Administrative Hearings within 10 days.</w:t>
            </w:r>
          </w:p>
        </w:tc>
      </w:tr>
      <w:tr w:rsidR="007471AB">
        <w:tc>
          <w:tcPr>
            <w:tcW w:w="1195" w:type="dxa"/>
            <w:tcMar>
              <w:right w:w="43" w:type="dxa"/>
            </w:tcMar>
          </w:tcPr>
          <w:p w:rsidR="007471AB" w:rsidRDefault="007471AB">
            <w:pPr>
              <w:pStyle w:val="Sectionnumber"/>
            </w:pPr>
          </w:p>
        </w:tc>
        <w:tc>
          <w:tcPr>
            <w:tcW w:w="9101" w:type="dxa"/>
          </w:tcPr>
          <w:p w:rsidR="007471AB" w:rsidRPr="007471AB" w:rsidRDefault="007471AB" w:rsidP="00B05D52">
            <w:pPr>
              <w:pStyle w:val="Sectionnumber"/>
              <w:numPr>
                <w:ilvl w:val="0"/>
                <w:numId w:val="0"/>
              </w:numPr>
              <w:rPr>
                <w:b w:val="0"/>
                <w:bCs/>
              </w:rPr>
            </w:pPr>
            <w:r>
              <w:rPr>
                <w:bCs/>
              </w:rPr>
              <w:t xml:space="preserve">Settlement and pretrial conferences; summary decision.  </w:t>
            </w:r>
            <w:r>
              <w:rPr>
                <w:b w:val="0"/>
                <w:bCs/>
              </w:rPr>
              <w:t xml:space="preserve">Gives the chief administrative law judge (rather than the commissioner) authority to assign </w:t>
            </w:r>
            <w:r w:rsidR="00B05D52">
              <w:rPr>
                <w:b w:val="0"/>
                <w:bCs/>
              </w:rPr>
              <w:t xml:space="preserve">a </w:t>
            </w:r>
            <w:r w:rsidR="000F5DDA">
              <w:rPr>
                <w:b w:val="0"/>
                <w:bCs/>
              </w:rPr>
              <w:t>petition</w:t>
            </w:r>
            <w:r>
              <w:rPr>
                <w:b w:val="0"/>
                <w:bCs/>
              </w:rPr>
              <w:t xml:space="preserve"> to a compensation judge</w:t>
            </w:r>
            <w:r w:rsidR="000F5DDA">
              <w:rPr>
                <w:b w:val="0"/>
                <w:bCs/>
              </w:rPr>
              <w:t xml:space="preserve"> and schedule a settlement conference before a compensation judge to be held not later than 180 days after the claim petition was filed, or 45 days after a petition to discontinue, objection to discontinuance, or request for formal hearing was filed.  Under current law, the timeline limit is within 60 days of receiving the petition.  Requires that parties must serve and file </w:t>
            </w:r>
            <w:r w:rsidR="00B05D52">
              <w:rPr>
                <w:b w:val="0"/>
                <w:bCs/>
              </w:rPr>
              <w:t xml:space="preserve">a </w:t>
            </w:r>
            <w:r w:rsidR="000F5DDA">
              <w:rPr>
                <w:b w:val="0"/>
                <w:bCs/>
              </w:rPr>
              <w:t>pretrial statement no fewer than five days before the settlement conference.  If settlement is not reached, the chief administrative law judge is directed to schedule a hearing within 90 days from the schedule settlement conference, unless an expedited hearing is required.  The hearing must be held before a compensation judge other than the one who conducted the settlement conference.  The judge may conduct a pretrial conference to clarify issues and evidence.  Cancellations and continuations of proceedings may be granted upon showing of good cause.</w:t>
            </w:r>
          </w:p>
        </w:tc>
      </w:tr>
      <w:tr w:rsidR="000F5DDA">
        <w:tc>
          <w:tcPr>
            <w:tcW w:w="1195" w:type="dxa"/>
            <w:tcMar>
              <w:right w:w="43" w:type="dxa"/>
            </w:tcMar>
          </w:tcPr>
          <w:p w:rsidR="000F5DDA" w:rsidRDefault="000F5DDA">
            <w:pPr>
              <w:pStyle w:val="Sectionnumber"/>
            </w:pPr>
          </w:p>
        </w:tc>
        <w:tc>
          <w:tcPr>
            <w:tcW w:w="9101" w:type="dxa"/>
          </w:tcPr>
          <w:p w:rsidR="000F5DDA" w:rsidRPr="000F5DDA" w:rsidRDefault="000F5DDA" w:rsidP="000F5DDA">
            <w:pPr>
              <w:pStyle w:val="Sectionnumber"/>
              <w:numPr>
                <w:ilvl w:val="0"/>
                <w:numId w:val="0"/>
              </w:numPr>
              <w:rPr>
                <w:b w:val="0"/>
                <w:bCs/>
              </w:rPr>
            </w:pPr>
            <w:r>
              <w:rPr>
                <w:bCs/>
              </w:rPr>
              <w:t xml:space="preserve">Compensation judges; block system.  </w:t>
            </w:r>
            <w:r>
              <w:rPr>
                <w:b w:val="0"/>
                <w:bCs/>
              </w:rPr>
              <w:t xml:space="preserve">Provides for judges to be removed from a case when </w:t>
            </w:r>
            <w:r>
              <w:rPr>
                <w:b w:val="0"/>
                <w:bCs/>
              </w:rPr>
              <w:lastRenderedPageBreak/>
              <w:t xml:space="preserve">a party exercises a legal right to do so, the judge is incapacitated or is otherwise unable to hold a hearing; or assignment of a different judge is required under law or by the </w:t>
            </w:r>
            <w:r w:rsidR="0055588A">
              <w:rPr>
                <w:b w:val="0"/>
                <w:bCs/>
              </w:rPr>
              <w:t>Minnesota Code</w:t>
            </w:r>
            <w:r>
              <w:rPr>
                <w:b w:val="0"/>
                <w:bCs/>
              </w:rPr>
              <w:t xml:space="preserve"> of Judicial Conduct.  Provides that the block system is the preferred, rather than principal, means of assigning cases.</w:t>
            </w:r>
          </w:p>
        </w:tc>
      </w:tr>
      <w:tr w:rsidR="000F5DDA">
        <w:tc>
          <w:tcPr>
            <w:tcW w:w="1195" w:type="dxa"/>
            <w:tcMar>
              <w:right w:w="43" w:type="dxa"/>
            </w:tcMar>
          </w:tcPr>
          <w:p w:rsidR="000F5DDA" w:rsidRDefault="000F5DDA">
            <w:pPr>
              <w:pStyle w:val="Sectionnumber"/>
            </w:pPr>
          </w:p>
        </w:tc>
        <w:tc>
          <w:tcPr>
            <w:tcW w:w="9101" w:type="dxa"/>
          </w:tcPr>
          <w:p w:rsidR="000F5DDA" w:rsidRPr="000F5DDA" w:rsidRDefault="000F5DDA" w:rsidP="000F5DDA">
            <w:pPr>
              <w:pStyle w:val="Sectionnumber"/>
              <w:numPr>
                <w:ilvl w:val="0"/>
                <w:numId w:val="0"/>
              </w:numPr>
              <w:rPr>
                <w:b w:val="0"/>
                <w:bCs/>
              </w:rPr>
            </w:pPr>
            <w:r>
              <w:rPr>
                <w:bCs/>
              </w:rPr>
              <w:t xml:space="preserve">Continuances.  </w:t>
            </w:r>
            <w:r>
              <w:rPr>
                <w:b w:val="0"/>
                <w:bCs/>
              </w:rPr>
              <w:t>Provides that cancellation of settlement conferences shall be granted if all parties agree to the cancellation.</w:t>
            </w:r>
          </w:p>
        </w:tc>
      </w:tr>
      <w:tr w:rsidR="000F5DDA">
        <w:tc>
          <w:tcPr>
            <w:tcW w:w="1195" w:type="dxa"/>
            <w:tcMar>
              <w:right w:w="43" w:type="dxa"/>
            </w:tcMar>
          </w:tcPr>
          <w:p w:rsidR="000F5DDA" w:rsidRDefault="000F5DDA">
            <w:pPr>
              <w:pStyle w:val="Sectionnumber"/>
            </w:pPr>
          </w:p>
        </w:tc>
        <w:tc>
          <w:tcPr>
            <w:tcW w:w="9101" w:type="dxa"/>
          </w:tcPr>
          <w:p w:rsidR="000F5DDA" w:rsidRPr="000F5DDA" w:rsidRDefault="000F5DDA" w:rsidP="000F5DDA">
            <w:pPr>
              <w:pStyle w:val="Sectionnumber"/>
              <w:numPr>
                <w:ilvl w:val="0"/>
                <w:numId w:val="0"/>
              </w:numPr>
              <w:rPr>
                <w:b w:val="0"/>
                <w:bCs/>
              </w:rPr>
            </w:pPr>
            <w:r>
              <w:rPr>
                <w:bCs/>
              </w:rPr>
              <w:t xml:space="preserve">Medical fee review; wholesale acquisition cost standard.  </w:t>
            </w:r>
            <w:r>
              <w:rPr>
                <w:b w:val="0"/>
                <w:bCs/>
              </w:rPr>
              <w:t>Directs the commissioner to replace the “average wholesale price” standard in rule with the “wholesale acquisition cost” standard.  Increases the wholesale acquisition cost by a percentage necessary to establish maxim fees that are the same as maximum fees currently in place.</w:t>
            </w:r>
          </w:p>
        </w:tc>
      </w:tr>
      <w:tr w:rsidR="008B2815">
        <w:tc>
          <w:tcPr>
            <w:tcW w:w="1195" w:type="dxa"/>
            <w:tcMar>
              <w:right w:w="43" w:type="dxa"/>
            </w:tcMar>
          </w:tcPr>
          <w:p w:rsidR="008B2815" w:rsidRDefault="008B2815">
            <w:pPr>
              <w:pStyle w:val="Sectionnumber"/>
            </w:pPr>
          </w:p>
        </w:tc>
        <w:tc>
          <w:tcPr>
            <w:tcW w:w="9101" w:type="dxa"/>
          </w:tcPr>
          <w:p w:rsidR="008B2815" w:rsidRPr="008B2815" w:rsidRDefault="008B2815" w:rsidP="000F5DDA">
            <w:pPr>
              <w:pStyle w:val="Sectionnumber"/>
              <w:numPr>
                <w:ilvl w:val="0"/>
                <w:numId w:val="0"/>
              </w:numPr>
              <w:rPr>
                <w:b w:val="0"/>
                <w:bCs/>
              </w:rPr>
            </w:pPr>
            <w:r>
              <w:rPr>
                <w:bCs/>
              </w:rPr>
              <w:t>Appropriation.</w:t>
            </w:r>
            <w:r>
              <w:rPr>
                <w:b w:val="0"/>
                <w:bCs/>
              </w:rPr>
              <w:t xml:space="preserve">  Provides a $600,000 appropriation from the special compensation fund for a case management and electronic filing system at the Office of Administrative Hearings.</w:t>
            </w:r>
          </w:p>
        </w:tc>
      </w:tr>
      <w:tr w:rsidR="000F5DDA">
        <w:tc>
          <w:tcPr>
            <w:tcW w:w="1195" w:type="dxa"/>
            <w:tcMar>
              <w:right w:w="43" w:type="dxa"/>
            </w:tcMar>
          </w:tcPr>
          <w:p w:rsidR="000F5DDA" w:rsidRDefault="000F5DDA">
            <w:pPr>
              <w:pStyle w:val="Sectionnumber"/>
            </w:pPr>
          </w:p>
        </w:tc>
        <w:tc>
          <w:tcPr>
            <w:tcW w:w="9101" w:type="dxa"/>
          </w:tcPr>
          <w:p w:rsidR="0055588A" w:rsidRPr="000F5DDA" w:rsidRDefault="000F5DDA" w:rsidP="000F5DDA">
            <w:pPr>
              <w:pStyle w:val="Sectionnumber"/>
              <w:numPr>
                <w:ilvl w:val="0"/>
                <w:numId w:val="0"/>
              </w:numPr>
              <w:rPr>
                <w:b w:val="0"/>
                <w:bCs/>
              </w:rPr>
            </w:pPr>
            <w:proofErr w:type="spellStart"/>
            <w:r>
              <w:rPr>
                <w:bCs/>
              </w:rPr>
              <w:t>Revisor’s</w:t>
            </w:r>
            <w:proofErr w:type="spellEnd"/>
            <w:r>
              <w:rPr>
                <w:bCs/>
              </w:rPr>
              <w:t xml:space="preserve"> instruction.  </w:t>
            </w:r>
            <w:r>
              <w:rPr>
                <w:b w:val="0"/>
                <w:bCs/>
              </w:rPr>
              <w:t>Directs the revisor to change the phrase “</w:t>
            </w:r>
            <w:r w:rsidR="0055588A">
              <w:rPr>
                <w:b w:val="0"/>
                <w:bCs/>
              </w:rPr>
              <w:t>commissioner’s</w:t>
            </w:r>
            <w:r>
              <w:rPr>
                <w:b w:val="0"/>
                <w:bCs/>
              </w:rPr>
              <w:t xml:space="preserve"> decision” with “interim administrative decision</w:t>
            </w:r>
            <w:r w:rsidR="0055588A">
              <w:rPr>
                <w:b w:val="0"/>
                <w:bCs/>
              </w:rPr>
              <w:t>.”</w:t>
            </w:r>
          </w:p>
        </w:tc>
      </w:tr>
      <w:tr w:rsidR="0055588A">
        <w:tc>
          <w:tcPr>
            <w:tcW w:w="1195" w:type="dxa"/>
            <w:tcMar>
              <w:right w:w="43" w:type="dxa"/>
            </w:tcMar>
          </w:tcPr>
          <w:p w:rsidR="0055588A" w:rsidRDefault="0055588A" w:rsidP="0055588A">
            <w:pPr>
              <w:pStyle w:val="Sectionnumber"/>
              <w:numPr>
                <w:ilvl w:val="0"/>
                <w:numId w:val="0"/>
              </w:numPr>
            </w:pPr>
            <w:r>
              <w:t>19</w:t>
            </w:r>
          </w:p>
        </w:tc>
        <w:tc>
          <w:tcPr>
            <w:tcW w:w="9101" w:type="dxa"/>
          </w:tcPr>
          <w:p w:rsidR="0055588A" w:rsidRPr="0055588A" w:rsidRDefault="0055588A" w:rsidP="008B2815">
            <w:pPr>
              <w:pStyle w:val="Sectionnumber"/>
              <w:numPr>
                <w:ilvl w:val="0"/>
                <w:numId w:val="0"/>
              </w:numPr>
              <w:rPr>
                <w:b w:val="0"/>
                <w:bCs/>
              </w:rPr>
            </w:pPr>
            <w:r>
              <w:rPr>
                <w:bCs/>
              </w:rPr>
              <w:t xml:space="preserve">Effective date.  </w:t>
            </w:r>
            <w:r>
              <w:rPr>
                <w:b w:val="0"/>
                <w:bCs/>
              </w:rPr>
              <w:t xml:space="preserve">Provides that the bill is effective </w:t>
            </w:r>
            <w:r w:rsidR="008B2815">
              <w:rPr>
                <w:b w:val="0"/>
                <w:bCs/>
              </w:rPr>
              <w:t>August 1, 2011</w:t>
            </w:r>
            <w:r>
              <w:rPr>
                <w:b w:val="0"/>
                <w:bCs/>
              </w:rPr>
              <w:t>.</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8C" w:rsidRDefault="0091458C">
      <w:pPr>
        <w:spacing w:after="0"/>
      </w:pPr>
      <w:r>
        <w:separator/>
      </w:r>
    </w:p>
  </w:endnote>
  <w:endnote w:type="continuationSeparator" w:id="0">
    <w:p w:rsidR="0091458C" w:rsidRDefault="009145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8C" w:rsidRDefault="00BA290A">
    <w:pPr>
      <w:pStyle w:val="Header"/>
      <w:spacing w:line="240" w:lineRule="exact"/>
      <w:rPr>
        <w:noProof/>
      </w:rPr>
    </w:pPr>
    <w:r>
      <w:rPr>
        <w:noProof/>
      </w:rPr>
      <w:pict>
        <v:line id="_x0000_s2051" style="position:absolute;z-index:251657216" from="-22.95pt,14.75pt" to="517.05pt,14.75pt" strokeweight="1.5pt"/>
      </w:pict>
    </w:r>
  </w:p>
  <w:p w:rsidR="0091458C" w:rsidRDefault="00BA290A">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1458C">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1458C">
          <w:rPr>
            <w:rFonts w:ascii="Arial" w:hAnsi="Arial"/>
          </w:rPr>
          <w:t>Research Department</w:t>
        </w:r>
      </w:smartTag>
      <w:r w:rsidR="0091458C">
        <w:rPr>
          <w:rFonts w:ascii="Arial" w:hAnsi="Arial"/>
        </w:rPr>
        <w:tab/>
      </w:r>
      <w:smartTag w:uri="urn:schemas-microsoft-com:office:smarttags" w:element="State">
        <w:r w:rsidR="0091458C">
          <w:rPr>
            <w:rFonts w:ascii="Arial" w:hAnsi="Arial"/>
          </w:rPr>
          <w:t>Minnesota</w:t>
        </w:r>
      </w:smartTag>
    </w:smartTag>
    <w:r w:rsidR="0091458C">
      <w:rPr>
        <w:rFonts w:ascii="Arial" w:hAnsi="Arial"/>
      </w:rPr>
      <w:t xml:space="preserve"> House of Representatives</w:t>
    </w:r>
    <w:r w:rsidR="0091458C">
      <w:rPr>
        <w:rFonts w:ascii="Arial" w:hAnsi="Arial"/>
      </w:rPr>
      <w:tab/>
      <w:t>600 State Office Building</w:t>
    </w:r>
  </w:p>
  <w:p w:rsidR="0091458C" w:rsidRDefault="0091458C">
    <w:pPr>
      <w:pStyle w:val="Footer"/>
      <w:tabs>
        <w:tab w:val="clear" w:pos="4320"/>
        <w:tab w:val="clear" w:pos="8640"/>
        <w:tab w:val="right" w:pos="10350"/>
      </w:tabs>
      <w:rPr>
        <w:sz w:val="18"/>
      </w:rPr>
    </w:pPr>
    <w:r>
      <w:rPr>
        <w:rFonts w:ascii="Arial" w:hAnsi="Arial"/>
      </w:rPr>
      <w:tab/>
    </w:r>
    <w:r w:rsidR="00BA290A">
      <w:rPr>
        <w:sz w:val="18"/>
      </w:rPr>
      <w:fldChar w:fldCharType="begin"/>
    </w:r>
    <w:r>
      <w:rPr>
        <w:sz w:val="18"/>
      </w:rPr>
      <w:instrText xml:space="preserve"> FILENAME \p </w:instrText>
    </w:r>
    <w:r w:rsidR="00BA290A">
      <w:rPr>
        <w:sz w:val="18"/>
      </w:rPr>
      <w:fldChar w:fldCharType="separate"/>
    </w:r>
    <w:r w:rsidR="00856010">
      <w:rPr>
        <w:noProof/>
        <w:sz w:val="18"/>
      </w:rPr>
      <w:t>C:\Users\joneill\AppData\Local\Temp\XPgrpwise\1362e1 Kieffer.an.DOCX</w:t>
    </w:r>
    <w:r w:rsidR="00BA290A">
      <w:rPr>
        <w:sz w:val="18"/>
      </w:rPr>
      <w:fldChar w:fldCharType="end"/>
    </w:r>
    <w:r>
      <w:rPr>
        <w:sz w:val="18"/>
      </w:rPr>
      <w:t xml:space="preserve">  Last printed </w:t>
    </w:r>
    <w:r w:rsidR="00BA290A">
      <w:rPr>
        <w:sz w:val="18"/>
      </w:rPr>
      <w:fldChar w:fldCharType="begin"/>
    </w:r>
    <w:r>
      <w:rPr>
        <w:sz w:val="18"/>
      </w:rPr>
      <w:instrText xml:space="preserve"> PRINTDATE </w:instrText>
    </w:r>
    <w:r w:rsidR="00BA290A">
      <w:rPr>
        <w:sz w:val="18"/>
      </w:rPr>
      <w:fldChar w:fldCharType="separate"/>
    </w:r>
    <w:r w:rsidR="00856010">
      <w:rPr>
        <w:noProof/>
        <w:sz w:val="18"/>
      </w:rPr>
      <w:t>5/2/2011 10:35:00 AM</w:t>
    </w:r>
    <w:r w:rsidR="00BA290A">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58C" w:rsidRDefault="00BA290A">
    <w:pPr>
      <w:pStyle w:val="Header"/>
      <w:spacing w:line="240" w:lineRule="exact"/>
      <w:rPr>
        <w:noProof/>
      </w:rPr>
    </w:pPr>
    <w:r>
      <w:rPr>
        <w:noProof/>
      </w:rPr>
      <w:pict>
        <v:line id="_x0000_s2050" style="position:absolute;z-index:251656192" from="-22.95pt,14.75pt" to="517.05pt,14.75pt" strokeweight="1.5pt"/>
      </w:pict>
    </w:r>
  </w:p>
  <w:p w:rsidR="0091458C" w:rsidRDefault="00BA290A">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91458C">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91458C">
          <w:rPr>
            <w:rFonts w:ascii="Arial" w:hAnsi="Arial"/>
          </w:rPr>
          <w:t>Research Department</w:t>
        </w:r>
      </w:smartTag>
      <w:r w:rsidR="0091458C">
        <w:rPr>
          <w:rFonts w:ascii="Arial" w:hAnsi="Arial"/>
        </w:rPr>
        <w:tab/>
      </w:r>
      <w:smartTag w:uri="urn:schemas-microsoft-com:office:smarttags" w:element="State">
        <w:r w:rsidR="0091458C">
          <w:rPr>
            <w:rFonts w:ascii="Arial" w:hAnsi="Arial"/>
          </w:rPr>
          <w:t>Minnesota</w:t>
        </w:r>
      </w:smartTag>
    </w:smartTag>
    <w:r w:rsidR="0091458C">
      <w:rPr>
        <w:rFonts w:ascii="Arial" w:hAnsi="Arial"/>
      </w:rPr>
      <w:t xml:space="preserve"> House of Representatives</w:t>
    </w:r>
    <w:r w:rsidR="0091458C">
      <w:rPr>
        <w:rFonts w:ascii="Arial" w:hAnsi="Arial"/>
      </w:rPr>
      <w:tab/>
      <w:t>600 State Office Building</w:t>
    </w:r>
  </w:p>
  <w:p w:rsidR="0091458C" w:rsidRDefault="0091458C">
    <w:pPr>
      <w:pStyle w:val="Footer"/>
      <w:tabs>
        <w:tab w:val="clear" w:pos="4320"/>
        <w:tab w:val="clear" w:pos="8640"/>
        <w:tab w:val="right" w:pos="10350"/>
      </w:tabs>
      <w:spacing w:before="0"/>
      <w:rPr>
        <w:sz w:val="18"/>
      </w:rPr>
    </w:pPr>
    <w:r>
      <w:tab/>
    </w:r>
    <w:r w:rsidR="00BA290A">
      <w:rPr>
        <w:snapToGrid w:val="0"/>
        <w:sz w:val="18"/>
      </w:rPr>
      <w:fldChar w:fldCharType="begin"/>
    </w:r>
    <w:r>
      <w:rPr>
        <w:snapToGrid w:val="0"/>
        <w:sz w:val="18"/>
      </w:rPr>
      <w:instrText xml:space="preserve"> FILENAME \p </w:instrText>
    </w:r>
    <w:r w:rsidR="00BA290A">
      <w:rPr>
        <w:snapToGrid w:val="0"/>
        <w:sz w:val="18"/>
      </w:rPr>
      <w:fldChar w:fldCharType="separate"/>
    </w:r>
    <w:r w:rsidR="00856010">
      <w:rPr>
        <w:noProof/>
        <w:snapToGrid w:val="0"/>
        <w:sz w:val="18"/>
      </w:rPr>
      <w:t>C:\Users\joneill\AppData\Local\Temp\XPgrpwise\1362e1 Kieffer.an.DOCX</w:t>
    </w:r>
    <w:r w:rsidR="00BA290A">
      <w:rPr>
        <w:snapToGrid w:val="0"/>
        <w:sz w:val="18"/>
      </w:rPr>
      <w:fldChar w:fldCharType="end"/>
    </w:r>
    <w:r>
      <w:rPr>
        <w:snapToGrid w:val="0"/>
        <w:sz w:val="18"/>
      </w:rPr>
      <w:t xml:space="preserve">  Last printed </w:t>
    </w:r>
    <w:r w:rsidR="00BA290A">
      <w:rPr>
        <w:snapToGrid w:val="0"/>
        <w:sz w:val="18"/>
      </w:rPr>
      <w:fldChar w:fldCharType="begin"/>
    </w:r>
    <w:r>
      <w:rPr>
        <w:snapToGrid w:val="0"/>
        <w:sz w:val="18"/>
      </w:rPr>
      <w:instrText xml:space="preserve"> PRINTDATE </w:instrText>
    </w:r>
    <w:r w:rsidR="00BA290A">
      <w:rPr>
        <w:snapToGrid w:val="0"/>
        <w:sz w:val="18"/>
      </w:rPr>
      <w:fldChar w:fldCharType="separate"/>
    </w:r>
    <w:r w:rsidR="00856010">
      <w:rPr>
        <w:noProof/>
        <w:snapToGrid w:val="0"/>
        <w:sz w:val="18"/>
      </w:rPr>
      <w:t>5/2/2011 10:35:00 AM</w:t>
    </w:r>
    <w:r w:rsidR="00BA290A">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8C" w:rsidRDefault="0091458C">
      <w:pPr>
        <w:spacing w:after="0"/>
      </w:pPr>
      <w:r>
        <w:separator/>
      </w:r>
    </w:p>
  </w:footnote>
  <w:footnote w:type="continuationSeparator" w:id="0">
    <w:p w:rsidR="0091458C" w:rsidRDefault="009145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815" w:rsidRDefault="008B2815">
    <w:pPr>
      <w:pStyle w:val="Header"/>
    </w:pPr>
    <w:r w:rsidRPr="008B2815">
      <w:t>H.F. 1362</w:t>
    </w:r>
    <w:r w:rsidRPr="008B2815">
      <w:tab/>
    </w:r>
    <w:r>
      <w:tab/>
    </w:r>
    <w:r w:rsidRPr="008B2815">
      <w:t>May 2, 2011</w:t>
    </w:r>
  </w:p>
  <w:p w:rsidR="008B2815" w:rsidRDefault="008B2815">
    <w:pPr>
      <w:pStyle w:val="Header"/>
    </w:pPr>
    <w:r w:rsidRPr="008B2815">
      <w:t>Version:</w:t>
    </w:r>
    <w:r w:rsidRPr="008B2815">
      <w:tab/>
      <w:t>First engrossment</w:t>
    </w:r>
    <w:r>
      <w:tab/>
      <w:t xml:space="preserve">Page </w:t>
    </w:r>
    <w:fldSimple w:instr=" PAGE  \* MERGEFORMAT ">
      <w:r w:rsidR="00856010">
        <w:rPr>
          <w:noProof/>
        </w:rPr>
        <w:t>3</w:t>
      </w:r>
    </w:fldSimple>
  </w:p>
  <w:p w:rsidR="008B2815" w:rsidRDefault="008B2815">
    <w:pPr>
      <w:pStyle w:val="Header"/>
    </w:pPr>
  </w:p>
  <w:p w:rsidR="008B2815" w:rsidRPr="008B2815" w:rsidRDefault="008B2815" w:rsidP="008B2815">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92243C"/>
    <w:rsid w:val="000C7259"/>
    <w:rsid w:val="000F5DDA"/>
    <w:rsid w:val="00184C1C"/>
    <w:rsid w:val="00266735"/>
    <w:rsid w:val="002B114A"/>
    <w:rsid w:val="00405797"/>
    <w:rsid w:val="0055588A"/>
    <w:rsid w:val="005B1BD5"/>
    <w:rsid w:val="005E4BEA"/>
    <w:rsid w:val="007471AB"/>
    <w:rsid w:val="008345F2"/>
    <w:rsid w:val="00856010"/>
    <w:rsid w:val="008B2815"/>
    <w:rsid w:val="008F0F9A"/>
    <w:rsid w:val="0091458C"/>
    <w:rsid w:val="0092243C"/>
    <w:rsid w:val="009D4386"/>
    <w:rsid w:val="009E6C5F"/>
    <w:rsid w:val="00A8513B"/>
    <w:rsid w:val="00AB78BA"/>
    <w:rsid w:val="00AC3527"/>
    <w:rsid w:val="00B05D52"/>
    <w:rsid w:val="00BA290A"/>
    <w:rsid w:val="00C046DC"/>
    <w:rsid w:val="00F4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3</Pages>
  <Words>902</Words>
  <Characters>5412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Anita Neumann</dc:creator>
  <cp:lastModifiedBy>Software Administration</cp:lastModifiedBy>
  <cp:revision>2</cp:revision>
  <cp:lastPrinted>2011-05-02T15:35:00Z</cp:lastPrinted>
  <dcterms:created xsi:type="dcterms:W3CDTF">2011-05-02T15:39:00Z</dcterms:created>
  <dcterms:modified xsi:type="dcterms:W3CDTF">2011-05-02T15:39:00Z</dcterms:modified>
</cp:coreProperties>
</file>