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C3729" w14:textId="77777777" w:rsidR="002D7E5F" w:rsidRDefault="002D7E5F" w:rsidP="002D7E5F">
      <w:pPr>
        <w:jc w:val="center"/>
      </w:pPr>
      <w:r>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14D04A94" wp14:editId="15C9D753">
                <wp:simplePos x="0" y="0"/>
                <wp:positionH relativeFrom="column">
                  <wp:posOffset>5017273</wp:posOffset>
                </wp:positionH>
                <wp:positionV relativeFrom="paragraph">
                  <wp:posOffset>-421419</wp:posOffset>
                </wp:positionV>
                <wp:extent cx="1327868" cy="954156"/>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1327868" cy="954156"/>
                        </a:xfrm>
                        <a:prstGeom prst="rect">
                          <a:avLst/>
                        </a:prstGeom>
                        <a:solidFill>
                          <a:schemeClr val="lt1"/>
                        </a:solidFill>
                        <a:ln w="6350">
                          <a:noFill/>
                        </a:ln>
                      </wps:spPr>
                      <wps:txbx>
                        <w:txbxContent>
                          <w:p w14:paraId="18CDCA0F" w14:textId="77777777" w:rsidR="002D7E5F" w:rsidRDefault="002D7E5F" w:rsidP="002D7E5F">
                            <w:r>
                              <w:rPr>
                                <w:noProof/>
                              </w:rPr>
                              <w:drawing>
                                <wp:inline distT="0" distB="0" distL="0" distR="0" wp14:anchorId="44F7FD01" wp14:editId="78B1DCB0">
                                  <wp:extent cx="998955" cy="81103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034" cy="8119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04A94" id="_x0000_t202" coordsize="21600,21600" o:spt="202" path="m,l,21600r21600,l21600,xe">
                <v:stroke joinstyle="miter"/>
                <v:path gradientshapeok="t" o:connecttype="rect"/>
              </v:shapetype>
              <v:shape id="Text Box 3" o:spid="_x0000_s1026" type="#_x0000_t202" style="position:absolute;left:0;text-align:left;margin-left:395.05pt;margin-top:-33.2pt;width:104.55pt;height:7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" fillcolor="white [3201]" stroked="f" strokeweight=".5pt">
                <v:textbox>
                  <w:txbxContent>
                    <w:p w14:paraId="18CDCA0F" w14:textId="77777777" w:rsidR="002D7E5F" w:rsidRDefault="002D7E5F" w:rsidP="002D7E5F">
                      <w:r>
                        <w:rPr>
                          <w:noProof/>
                        </w:rPr>
                        <w:drawing>
                          <wp:inline distT="0" distB="0" distL="0" distR="0" wp14:anchorId="44F7FD01" wp14:editId="78B1DCB0">
                            <wp:extent cx="998955" cy="81103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0034" cy="811909"/>
                                    </a:xfrm>
                                    <a:prstGeom prst="rect">
                                      <a:avLst/>
                                    </a:prstGeom>
                                    <a:noFill/>
                                    <a:ln>
                                      <a:noFill/>
                                    </a:ln>
                                  </pic:spPr>
                                </pic:pic>
                              </a:graphicData>
                            </a:graphic>
                          </wp:inline>
                        </w:drawing>
                      </w:r>
                    </w:p>
                  </w:txbxContent>
                </v:textbox>
              </v:shape>
            </w:pict>
          </mc:Fallback>
        </mc:AlternateContent>
      </w:r>
      <w:r w:rsidRPr="004F099F">
        <w:rPr>
          <w:rFonts w:ascii="Calibri" w:eastAsia="Calibri" w:hAnsi="Calibri" w:cs="Times New Roman"/>
          <w:noProof/>
        </w:rPr>
        <w:drawing>
          <wp:inline distT="0" distB="0" distL="0" distR="0" wp14:anchorId="7B565088" wp14:editId="395C7941">
            <wp:extent cx="3025140" cy="8153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LA-Transparent-Background-(PowerPoi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4164" cy="820467"/>
                    </a:xfrm>
                    <a:prstGeom prst="rect">
                      <a:avLst/>
                    </a:prstGeom>
                  </pic:spPr>
                </pic:pic>
              </a:graphicData>
            </a:graphic>
          </wp:inline>
        </w:drawing>
      </w:r>
    </w:p>
    <w:p w14:paraId="3B3069ED" w14:textId="6FAE6B50" w:rsidR="002D7E5F" w:rsidRDefault="002D7E5F" w:rsidP="002D7E5F">
      <w:pPr>
        <w:rPr>
          <w:rFonts w:ascii="Times New Roman" w:hAnsi="Times New Roman" w:cs="Times New Roman"/>
          <w:sz w:val="24"/>
          <w:szCs w:val="24"/>
        </w:rPr>
      </w:pPr>
      <w:r>
        <w:rPr>
          <w:rFonts w:ascii="Times New Roman" w:hAnsi="Times New Roman" w:cs="Times New Roman"/>
          <w:sz w:val="24"/>
          <w:szCs w:val="24"/>
        </w:rPr>
        <w:t>February 5, 2023</w:t>
      </w:r>
      <w:r>
        <w:rPr>
          <w:rFonts w:ascii="Times New Roman" w:hAnsi="Times New Roman" w:cs="Times New Roman"/>
          <w:sz w:val="24"/>
          <w:szCs w:val="24"/>
        </w:rPr>
        <w:br/>
      </w:r>
      <w:r>
        <w:rPr>
          <w:rFonts w:ascii="Times New Roman" w:hAnsi="Times New Roman" w:cs="Times New Roman"/>
          <w:sz w:val="24"/>
          <w:szCs w:val="24"/>
        </w:rPr>
        <w:br/>
        <w:t xml:space="preserve">Dear </w:t>
      </w:r>
      <w:r>
        <w:rPr>
          <w:rFonts w:ascii="Times New Roman" w:hAnsi="Times New Roman" w:cs="Times New Roman"/>
          <w:sz w:val="24"/>
          <w:szCs w:val="24"/>
        </w:rPr>
        <w:t xml:space="preserve">Madame </w:t>
      </w:r>
      <w:r>
        <w:rPr>
          <w:rFonts w:ascii="Times New Roman" w:hAnsi="Times New Roman" w:cs="Times New Roman"/>
          <w:sz w:val="24"/>
          <w:szCs w:val="24"/>
        </w:rPr>
        <w:t xml:space="preserve">Chair </w:t>
      </w:r>
      <w:r>
        <w:rPr>
          <w:rFonts w:ascii="Times New Roman" w:hAnsi="Times New Roman" w:cs="Times New Roman"/>
          <w:sz w:val="24"/>
          <w:szCs w:val="24"/>
        </w:rPr>
        <w:t xml:space="preserve">Liebling </w:t>
      </w:r>
      <w:r>
        <w:rPr>
          <w:rFonts w:ascii="Times New Roman" w:hAnsi="Times New Roman" w:cs="Times New Roman"/>
          <w:sz w:val="24"/>
          <w:szCs w:val="24"/>
        </w:rPr>
        <w:t xml:space="preserve">and </w:t>
      </w:r>
      <w:r>
        <w:rPr>
          <w:rFonts w:ascii="Times New Roman" w:hAnsi="Times New Roman" w:cs="Times New Roman"/>
          <w:sz w:val="24"/>
          <w:szCs w:val="24"/>
        </w:rPr>
        <w:t>m</w:t>
      </w:r>
      <w:r>
        <w:rPr>
          <w:rFonts w:ascii="Times New Roman" w:hAnsi="Times New Roman" w:cs="Times New Roman"/>
          <w:sz w:val="24"/>
          <w:szCs w:val="24"/>
        </w:rPr>
        <w:t xml:space="preserve">embers of the </w:t>
      </w:r>
      <w:r w:rsidRPr="00627A12">
        <w:rPr>
          <w:rFonts w:ascii="Times New Roman" w:hAnsi="Times New Roman" w:cs="Times New Roman"/>
          <w:sz w:val="24"/>
          <w:szCs w:val="24"/>
        </w:rPr>
        <w:t>Health Finance and Policy Committee</w:t>
      </w: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t xml:space="preserve">On behalf of the Minnesota Council on Latino Affairs I write </w:t>
      </w:r>
      <w:r>
        <w:rPr>
          <w:rFonts w:ascii="Times New Roman" w:hAnsi="Times New Roman" w:cs="Times New Roman"/>
          <w:sz w:val="24"/>
          <w:szCs w:val="24"/>
        </w:rPr>
        <w:t>in support</w:t>
      </w:r>
      <w:r>
        <w:rPr>
          <w:rFonts w:ascii="Times New Roman" w:hAnsi="Times New Roman" w:cs="Times New Roman"/>
          <w:sz w:val="24"/>
          <w:szCs w:val="24"/>
        </w:rPr>
        <w:t xml:space="preserve"> </w:t>
      </w:r>
      <w:r w:rsidR="00E23E11">
        <w:rPr>
          <w:rFonts w:ascii="Times New Roman" w:hAnsi="Times New Roman" w:cs="Times New Roman"/>
          <w:sz w:val="24"/>
          <w:szCs w:val="24"/>
        </w:rPr>
        <w:t>of</w:t>
      </w:r>
      <w:r>
        <w:rPr>
          <w:rFonts w:ascii="Times New Roman" w:hAnsi="Times New Roman" w:cs="Times New Roman"/>
          <w:sz w:val="24"/>
          <w:szCs w:val="24"/>
        </w:rPr>
        <w:t xml:space="preserve"> H</w:t>
      </w:r>
      <w:r>
        <w:rPr>
          <w:rFonts w:ascii="Times New Roman" w:hAnsi="Times New Roman" w:cs="Times New Roman"/>
          <w:sz w:val="24"/>
          <w:szCs w:val="24"/>
        </w:rPr>
        <w:t>.</w:t>
      </w:r>
      <w:r>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639</w:t>
      </w:r>
      <w:r>
        <w:rPr>
          <w:rFonts w:ascii="Times New Roman" w:hAnsi="Times New Roman" w:cs="Times New Roman"/>
          <w:sz w:val="24"/>
          <w:szCs w:val="24"/>
        </w:rPr>
        <w:t xml:space="preserve"> (</w:t>
      </w:r>
      <w:proofErr w:type="spellStart"/>
      <w:r>
        <w:rPr>
          <w:rFonts w:ascii="Times New Roman" w:hAnsi="Times New Roman" w:cs="Times New Roman"/>
          <w:sz w:val="24"/>
          <w:szCs w:val="24"/>
        </w:rPr>
        <w:t>Bahner</w:t>
      </w:r>
      <w:proofErr w:type="spellEnd"/>
      <w:r>
        <w:rPr>
          <w:rFonts w:ascii="Times New Roman" w:hAnsi="Times New Roman" w:cs="Times New Roman"/>
          <w:sz w:val="24"/>
          <w:szCs w:val="24"/>
        </w:rPr>
        <w:t>)</w:t>
      </w:r>
      <w:r>
        <w:rPr>
          <w:rFonts w:ascii="Times New Roman" w:hAnsi="Times New Roman" w:cs="Times New Roman"/>
          <w:sz w:val="24"/>
          <w:szCs w:val="24"/>
        </w:rPr>
        <w:t xml:space="preserve">, to </w:t>
      </w:r>
      <w:r w:rsidRPr="00403C0D">
        <w:rPr>
          <w:rFonts w:ascii="Times New Roman" w:hAnsi="Times New Roman" w:cs="Times New Roman"/>
          <w:sz w:val="24"/>
          <w:szCs w:val="24"/>
        </w:rPr>
        <w:t>fully fund the Community Solutions for Healthy Child Development grant program</w:t>
      </w:r>
      <w:r>
        <w:rPr>
          <w:rFonts w:ascii="Times New Roman" w:hAnsi="Times New Roman" w:cs="Times New Roman"/>
          <w:sz w:val="24"/>
          <w:szCs w:val="24"/>
        </w:rPr>
        <w:t xml:space="preserve"> </w:t>
      </w:r>
      <w:r w:rsidRPr="00403C0D">
        <w:rPr>
          <w:rFonts w:ascii="Times New Roman" w:hAnsi="Times New Roman" w:cs="Times New Roman"/>
          <w:sz w:val="24"/>
          <w:szCs w:val="24"/>
        </w:rPr>
        <w:t xml:space="preserve">and make </w:t>
      </w:r>
      <w:r>
        <w:rPr>
          <w:rFonts w:ascii="Times New Roman" w:hAnsi="Times New Roman" w:cs="Times New Roman"/>
          <w:sz w:val="24"/>
          <w:szCs w:val="24"/>
        </w:rPr>
        <w:t xml:space="preserve">it </w:t>
      </w:r>
      <w:r w:rsidRPr="00403C0D">
        <w:rPr>
          <w:rFonts w:ascii="Times New Roman" w:hAnsi="Times New Roman" w:cs="Times New Roman"/>
          <w:sz w:val="24"/>
          <w:szCs w:val="24"/>
        </w:rPr>
        <w:t>permanent</w:t>
      </w:r>
      <w:r>
        <w:rPr>
          <w:rFonts w:ascii="Times New Roman" w:hAnsi="Times New Roman" w:cs="Times New Roman"/>
          <w:sz w:val="24"/>
          <w:szCs w:val="24"/>
        </w:rPr>
        <w:t>.</w:t>
      </w:r>
    </w:p>
    <w:p w14:paraId="0ABE1287" w14:textId="193F3D91" w:rsidR="002D7E5F" w:rsidRDefault="002D7E5F" w:rsidP="002D7E5F">
      <w:pPr>
        <w:jc w:val="both"/>
        <w:rPr>
          <w:rFonts w:ascii="Times New Roman" w:hAnsi="Times New Roman" w:cs="Times New Roman"/>
          <w:sz w:val="24"/>
          <w:szCs w:val="24"/>
        </w:rPr>
      </w:pPr>
      <w:r>
        <w:rPr>
          <w:rFonts w:ascii="Times New Roman" w:hAnsi="Times New Roman" w:cs="Times New Roman"/>
          <w:sz w:val="24"/>
          <w:szCs w:val="24"/>
        </w:rPr>
        <w:t>Children of color and American Indian children face a steeper ladder of success in Minnesota, and by 2035, these populations will make up one-quarter of the state’s residents. To address these disparities, the Community Solutions for Healthy Child Development grant program will support the strengths of communities of color and American Indian communities</w:t>
      </w:r>
      <w:r w:rsidR="00E23E11">
        <w:rPr>
          <w:rFonts w:ascii="Times New Roman" w:hAnsi="Times New Roman" w:cs="Times New Roman"/>
          <w:sz w:val="24"/>
          <w:szCs w:val="24"/>
        </w:rPr>
        <w:t xml:space="preserve"> to</w:t>
      </w:r>
      <w:r>
        <w:rPr>
          <w:rFonts w:ascii="Times New Roman" w:hAnsi="Times New Roman" w:cs="Times New Roman"/>
          <w:sz w:val="24"/>
          <w:szCs w:val="24"/>
        </w:rPr>
        <w:t xml:space="preserve"> develop strategies that promote early childhood and family healthy development. </w:t>
      </w:r>
    </w:p>
    <w:p w14:paraId="781EFA80" w14:textId="14DFF7D0" w:rsidR="002D7E5F" w:rsidRDefault="002D7E5F" w:rsidP="002D7E5F">
      <w:pPr>
        <w:tabs>
          <w:tab w:val="center" w:pos="4680"/>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As it has been successfully proven in the recent past with the first pilot grants, this program would continue to allow cultural communities across the state the flexibility to advance locally generated approaches to improve measures of well-being, based on a broad subset of child well-being outcomes from prenatal to 3</w:t>
      </w:r>
      <w:r w:rsidRPr="008E18CB">
        <w:rPr>
          <w:rFonts w:ascii="Times New Roman" w:hAnsi="Times New Roman" w:cs="Times New Roman"/>
          <w:sz w:val="24"/>
          <w:szCs w:val="24"/>
          <w:vertAlign w:val="superscript"/>
        </w:rPr>
        <w:t>rd</w:t>
      </w:r>
      <w:r>
        <w:rPr>
          <w:rFonts w:ascii="Times New Roman" w:hAnsi="Times New Roman" w:cs="Times New Roman"/>
          <w:sz w:val="24"/>
          <w:szCs w:val="24"/>
        </w:rPr>
        <w:t xml:space="preserve"> grade. Organizations like Centro Tyrone Guzmán, CLUES, and La Red in the Latino community have been able to serve more families and children thanks to these grants.</w:t>
      </w:r>
      <w:r>
        <w:rPr>
          <w:rFonts w:ascii="Times New Roman" w:hAnsi="Times New Roman" w:cs="Times New Roman"/>
          <w:sz w:val="24"/>
          <w:szCs w:val="24"/>
        </w:rPr>
        <w:br/>
      </w:r>
      <w:r>
        <w:rPr>
          <w:rFonts w:ascii="Times New Roman" w:hAnsi="Times New Roman" w:cs="Times New Roman"/>
          <w:sz w:val="24"/>
          <w:szCs w:val="24"/>
        </w:rPr>
        <w:br/>
        <w:t>H</w:t>
      </w:r>
      <w:r w:rsidR="00E23E11">
        <w:rPr>
          <w:rFonts w:ascii="Times New Roman" w:hAnsi="Times New Roman" w:cs="Times New Roman"/>
          <w:sz w:val="24"/>
          <w:szCs w:val="24"/>
        </w:rPr>
        <w:t>.</w:t>
      </w:r>
      <w:r>
        <w:rPr>
          <w:rFonts w:ascii="Times New Roman" w:hAnsi="Times New Roman" w:cs="Times New Roman"/>
          <w:sz w:val="24"/>
          <w:szCs w:val="24"/>
        </w:rPr>
        <w:t>F</w:t>
      </w:r>
      <w:r w:rsidR="00E23E11">
        <w:rPr>
          <w:rFonts w:ascii="Times New Roman" w:hAnsi="Times New Roman" w:cs="Times New Roman"/>
          <w:sz w:val="24"/>
          <w:szCs w:val="24"/>
        </w:rPr>
        <w:t xml:space="preserve">. </w:t>
      </w:r>
      <w:r>
        <w:rPr>
          <w:rFonts w:ascii="Times New Roman" w:hAnsi="Times New Roman" w:cs="Times New Roman"/>
          <w:sz w:val="24"/>
          <w:szCs w:val="24"/>
        </w:rPr>
        <w:t>639 additionally addresses geographic equity, by prioritizing grant funding to areas of the state with high proportions of communities of color and American Indian communities. As a Council, we have conducted listening sessions across the state and</w:t>
      </w:r>
      <w:r w:rsidR="00E23E11">
        <w:rPr>
          <w:rFonts w:ascii="Times New Roman" w:hAnsi="Times New Roman" w:cs="Times New Roman"/>
          <w:sz w:val="24"/>
          <w:szCs w:val="24"/>
        </w:rPr>
        <w:t xml:space="preserve">, when it comes to early childhood education, we </w:t>
      </w:r>
      <w:r>
        <w:rPr>
          <w:rFonts w:ascii="Times New Roman" w:hAnsi="Times New Roman" w:cs="Times New Roman"/>
          <w:sz w:val="24"/>
          <w:szCs w:val="24"/>
        </w:rPr>
        <w:t xml:space="preserve">have heard first-hand the unique differences and needs in Greater Minnesota and the Metro area. We’ve seen first-hand that our respective communities are best positioned to analyze their unique strengths and this bill gives them the ability to leverage community expertise and work towards eliminating early childhood health disparities. </w:t>
      </w:r>
    </w:p>
    <w:p w14:paraId="7A41896B" w14:textId="577D00DA" w:rsidR="002D7E5F" w:rsidRPr="002D7E5F" w:rsidRDefault="002D7E5F" w:rsidP="002D7E5F">
      <w:pPr>
        <w:tabs>
          <w:tab w:val="center" w:pos="4680"/>
          <w:tab w:val="right" w:pos="9360"/>
        </w:tabs>
        <w:spacing w:after="0" w:line="240" w:lineRule="auto"/>
        <w:jc w:val="both"/>
        <w:rPr>
          <w:rFonts w:ascii="Times New Roman" w:eastAsia="Calibri" w:hAnsi="Times New Roman" w:cs="Times New Roman"/>
          <w:b/>
          <w:sz w:val="24"/>
          <w:szCs w:val="24"/>
        </w:rPr>
      </w:pPr>
      <w:r>
        <w:rPr>
          <w:rFonts w:ascii="Times New Roman" w:hAnsi="Times New Roman" w:cs="Times New Roman"/>
          <w:sz w:val="24"/>
          <w:szCs w:val="24"/>
        </w:rPr>
        <w:br/>
        <w:t xml:space="preserve">We appreciate your consideration and ask for your support for the sustainability of this program. </w:t>
      </w:r>
      <w:r>
        <w:rPr>
          <w:rFonts w:ascii="Times New Roman" w:hAnsi="Times New Roman" w:cs="Times New Roman"/>
          <w:sz w:val="24"/>
          <w:szCs w:val="24"/>
        </w:rPr>
        <w:br/>
      </w:r>
    </w:p>
    <w:p w14:paraId="2A318673" w14:textId="77777777" w:rsidR="002D7E5F" w:rsidRPr="002D7E5F" w:rsidRDefault="002D7E5F" w:rsidP="002D7E5F">
      <w:pPr>
        <w:tabs>
          <w:tab w:val="center" w:pos="4680"/>
          <w:tab w:val="right" w:pos="9360"/>
        </w:tabs>
        <w:spacing w:after="0" w:line="240" w:lineRule="auto"/>
        <w:rPr>
          <w:rFonts w:ascii="Times New Roman" w:eastAsia="Calibri" w:hAnsi="Times New Roman" w:cs="Times New Roman"/>
          <w:bCs/>
        </w:rPr>
      </w:pPr>
      <w:r w:rsidRPr="002D7E5F">
        <w:rPr>
          <w:rFonts w:ascii="Times New Roman" w:eastAsia="Calibri" w:hAnsi="Times New Roman" w:cs="Times New Roman"/>
          <w:bCs/>
        </w:rPr>
        <w:t>Sincerely,</w:t>
      </w:r>
    </w:p>
    <w:p w14:paraId="48FFBA06" w14:textId="77777777" w:rsidR="002D7E5F" w:rsidRDefault="002D7E5F" w:rsidP="002D7E5F">
      <w:pPr>
        <w:tabs>
          <w:tab w:val="center" w:pos="4680"/>
          <w:tab w:val="right" w:pos="9360"/>
        </w:tabs>
        <w:spacing w:after="0" w:line="240" w:lineRule="auto"/>
        <w:rPr>
          <w:rFonts w:ascii="Calibri" w:eastAsia="Calibri" w:hAnsi="Calibri" w:cs="Times New Roman"/>
          <w:b/>
          <w:sz w:val="24"/>
          <w:szCs w:val="24"/>
        </w:rPr>
      </w:pPr>
    </w:p>
    <w:p w14:paraId="159066A0" w14:textId="77777777" w:rsidR="002D7E5F" w:rsidRDefault="002D7E5F" w:rsidP="002D7E5F">
      <w:pPr>
        <w:tabs>
          <w:tab w:val="center" w:pos="4680"/>
          <w:tab w:val="right" w:pos="9360"/>
        </w:tabs>
        <w:spacing w:after="0" w:line="240" w:lineRule="auto"/>
        <w:rPr>
          <w:rFonts w:ascii="Calibri" w:eastAsia="Calibri" w:hAnsi="Calibri" w:cs="Times New Roman"/>
          <w:b/>
          <w:sz w:val="24"/>
          <w:szCs w:val="24"/>
        </w:rPr>
      </w:pPr>
      <w:r w:rsidRPr="0058265B">
        <w:rPr>
          <w:rFonts w:ascii="Calibri" w:hAnsi="Calibri"/>
          <w:noProof/>
        </w:rPr>
        <w:drawing>
          <wp:inline distT="0" distB="0" distL="0" distR="0" wp14:anchorId="2BA4723B" wp14:editId="5EBEFD13">
            <wp:extent cx="1417320" cy="601980"/>
            <wp:effectExtent l="0" t="0" r="0" b="7620"/>
            <wp:docPr id="2" name="Picture 2" descr="Description: Rosa'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osa's 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601980"/>
                    </a:xfrm>
                    <a:prstGeom prst="rect">
                      <a:avLst/>
                    </a:prstGeom>
                    <a:noFill/>
                    <a:ln>
                      <a:noFill/>
                    </a:ln>
                  </pic:spPr>
                </pic:pic>
              </a:graphicData>
            </a:graphic>
          </wp:inline>
        </w:drawing>
      </w:r>
    </w:p>
    <w:p w14:paraId="5FBDD7EC" w14:textId="77777777" w:rsidR="002D7E5F" w:rsidRPr="002D7E5F" w:rsidRDefault="002D7E5F" w:rsidP="002D7E5F">
      <w:pPr>
        <w:tabs>
          <w:tab w:val="center" w:pos="4680"/>
          <w:tab w:val="right" w:pos="9360"/>
        </w:tabs>
        <w:spacing w:after="0" w:line="240" w:lineRule="auto"/>
        <w:rPr>
          <w:rFonts w:ascii="Times New Roman" w:eastAsia="Calibri" w:hAnsi="Times New Roman" w:cs="Times New Roman"/>
          <w:bCs/>
        </w:rPr>
      </w:pPr>
      <w:r w:rsidRPr="002D7E5F">
        <w:rPr>
          <w:rFonts w:ascii="Times New Roman" w:eastAsia="Calibri" w:hAnsi="Times New Roman" w:cs="Times New Roman"/>
          <w:bCs/>
        </w:rPr>
        <w:t>Rosa Tock, Executive Director</w:t>
      </w:r>
    </w:p>
    <w:p w14:paraId="111163BC" w14:textId="77777777" w:rsidR="002D7E5F" w:rsidRDefault="002D7E5F" w:rsidP="002D7E5F">
      <w:pPr>
        <w:tabs>
          <w:tab w:val="center" w:pos="4680"/>
          <w:tab w:val="right" w:pos="9360"/>
        </w:tabs>
        <w:spacing w:after="0" w:line="240" w:lineRule="auto"/>
        <w:jc w:val="center"/>
        <w:rPr>
          <w:rFonts w:ascii="Calibri" w:eastAsia="Calibri" w:hAnsi="Calibri" w:cs="Times New Roman"/>
          <w:b/>
          <w:sz w:val="24"/>
          <w:szCs w:val="24"/>
        </w:rPr>
      </w:pPr>
    </w:p>
    <w:p w14:paraId="196D34AC" w14:textId="77777777" w:rsidR="002D7E5F" w:rsidRPr="004F099F" w:rsidRDefault="002D7E5F" w:rsidP="002D7E5F">
      <w:pPr>
        <w:tabs>
          <w:tab w:val="center" w:pos="4680"/>
          <w:tab w:val="right" w:pos="9360"/>
        </w:tabs>
        <w:spacing w:after="0" w:line="240" w:lineRule="auto"/>
        <w:jc w:val="center"/>
        <w:rPr>
          <w:rFonts w:ascii="Calibri" w:eastAsia="Calibri" w:hAnsi="Calibri" w:cs="Times New Roman"/>
          <w:sz w:val="20"/>
          <w:szCs w:val="20"/>
        </w:rPr>
      </w:pPr>
      <w:r w:rsidRPr="004F099F">
        <w:rPr>
          <w:rFonts w:ascii="Calibri" w:eastAsia="Calibri" w:hAnsi="Calibri" w:cs="Times New Roman"/>
          <w:sz w:val="20"/>
          <w:szCs w:val="20"/>
        </w:rPr>
        <w:t>Centennial Office Building | 658 Cedar Street</w:t>
      </w:r>
      <w:r>
        <w:rPr>
          <w:rFonts w:ascii="Calibri" w:eastAsia="Calibri" w:hAnsi="Calibri" w:cs="Times New Roman"/>
          <w:sz w:val="20"/>
          <w:szCs w:val="20"/>
        </w:rPr>
        <w:t>,</w:t>
      </w:r>
      <w:r w:rsidRPr="004F099F">
        <w:rPr>
          <w:rFonts w:ascii="Calibri" w:eastAsia="Calibri" w:hAnsi="Calibri" w:cs="Times New Roman"/>
          <w:sz w:val="20"/>
          <w:szCs w:val="20"/>
        </w:rPr>
        <w:t xml:space="preserve"> </w:t>
      </w:r>
      <w:r>
        <w:rPr>
          <w:rFonts w:ascii="Calibri" w:eastAsia="Calibri" w:hAnsi="Calibri" w:cs="Times New Roman"/>
          <w:sz w:val="20"/>
          <w:szCs w:val="20"/>
        </w:rPr>
        <w:t>Suite G-56,</w:t>
      </w:r>
      <w:r w:rsidRPr="004F099F">
        <w:rPr>
          <w:rFonts w:ascii="Calibri" w:eastAsia="Calibri" w:hAnsi="Calibri" w:cs="Times New Roman"/>
          <w:sz w:val="20"/>
          <w:szCs w:val="20"/>
        </w:rPr>
        <w:t xml:space="preserve"> St. Paul, MN 55155</w:t>
      </w:r>
      <w:r>
        <w:rPr>
          <w:rFonts w:ascii="Calibri" w:eastAsia="Calibri" w:hAnsi="Calibri" w:cs="Times New Roman"/>
          <w:sz w:val="20"/>
          <w:szCs w:val="20"/>
        </w:rPr>
        <w:t>| 651-757-1762</w:t>
      </w:r>
    </w:p>
    <w:p w14:paraId="0D8A6BFA" w14:textId="77777777" w:rsidR="002D7E5F" w:rsidRDefault="002D7E5F" w:rsidP="002D7E5F">
      <w:pPr>
        <w:tabs>
          <w:tab w:val="center" w:pos="4680"/>
          <w:tab w:val="right" w:pos="9360"/>
        </w:tabs>
        <w:spacing w:after="0" w:line="240" w:lineRule="auto"/>
        <w:jc w:val="center"/>
        <w:rPr>
          <w:rFonts w:ascii="Calibri" w:eastAsia="Calibri" w:hAnsi="Calibri" w:cs="Times New Roman"/>
          <w:sz w:val="20"/>
          <w:szCs w:val="20"/>
        </w:rPr>
      </w:pPr>
      <w:r w:rsidRPr="004F099F">
        <w:rPr>
          <w:rFonts w:ascii="Calibri" w:eastAsia="Calibri" w:hAnsi="Calibri" w:cs="Times New Roman"/>
          <w:sz w:val="20"/>
          <w:szCs w:val="20"/>
        </w:rPr>
        <w:t>Website: MN.GOV/MCLA |   Facebook: /MINNCLA   | Tw</w:t>
      </w:r>
      <w:r>
        <w:rPr>
          <w:rFonts w:ascii="Calibri" w:eastAsia="Calibri" w:hAnsi="Calibri" w:cs="Times New Roman"/>
          <w:sz w:val="20"/>
          <w:szCs w:val="20"/>
        </w:rPr>
        <w:t>it</w:t>
      </w:r>
      <w:r w:rsidRPr="004F099F">
        <w:rPr>
          <w:rFonts w:ascii="Calibri" w:eastAsia="Calibri" w:hAnsi="Calibri" w:cs="Times New Roman"/>
          <w:sz w:val="20"/>
          <w:szCs w:val="20"/>
        </w:rPr>
        <w:t>ter: @MINNCLA</w:t>
      </w:r>
    </w:p>
    <w:p w14:paraId="6DD863E4" w14:textId="5826E0F0" w:rsidR="00B1753F" w:rsidRDefault="002D7E5F" w:rsidP="002D7E5F">
      <w:pPr>
        <w:tabs>
          <w:tab w:val="center" w:pos="4680"/>
          <w:tab w:val="right" w:pos="9360"/>
        </w:tabs>
        <w:spacing w:after="0" w:line="240" w:lineRule="auto"/>
        <w:jc w:val="center"/>
      </w:pPr>
      <w:r>
        <w:rPr>
          <w:rFonts w:ascii="Calibri" w:eastAsia="Calibri" w:hAnsi="Calibri" w:cs="Times New Roman"/>
          <w:sz w:val="20"/>
          <w:szCs w:val="20"/>
        </w:rPr>
        <w:t>An Equal Opportunity Employer</w:t>
      </w:r>
    </w:p>
    <w:sectPr w:rsidR="00B1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5F"/>
    <w:rsid w:val="002D7E5F"/>
    <w:rsid w:val="00380098"/>
    <w:rsid w:val="0069086C"/>
    <w:rsid w:val="00E2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46BE"/>
  <w15:chartTrackingRefBased/>
  <w15:docId w15:val="{374E38D7-4231-4AF9-B616-3DAA290D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Tock, Rosa (MCLA)</dc:creator>
  <cp:keywords/>
  <dc:description/>
  <cp:lastModifiedBy>Tock, Rosa (MCLA)</cp:lastModifiedBy>
  <cp:revision>2</cp:revision>
  <dcterms:created xsi:type="dcterms:W3CDTF">2023-02-06T13:47:00Z</dcterms:created>
  <dcterms:modified xsi:type="dcterms:W3CDTF">2023-02-06T13:58:00Z</dcterms:modified>
</cp:coreProperties>
</file>