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rPr>
          <w:b/>
          <w:b/>
          <w:color w:val="4F81BD" w:themeColor="accent1"/>
          <w:sz w:val="72"/>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drawing>
          <wp:anchor behindDoc="0" distT="0" distB="0" distL="114300" distR="114300" simplePos="0" locked="0" layoutInCell="0" allowOverlap="1" relativeHeight="2">
            <wp:simplePos x="0" y="0"/>
            <wp:positionH relativeFrom="column">
              <wp:posOffset>158115</wp:posOffset>
            </wp:positionH>
            <wp:positionV relativeFrom="paragraph">
              <wp:posOffset>-13335</wp:posOffset>
            </wp:positionV>
            <wp:extent cx="2444115" cy="162052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8528" t="0" r="9182" b="7718"/>
                    <a:stretch>
                      <a:fillRect/>
                    </a:stretch>
                  </pic:blipFill>
                  <pic:spPr bwMode="auto">
                    <a:xfrm>
                      <a:off x="0" y="0"/>
                      <a:ext cx="2444115" cy="1620520"/>
                    </a:xfrm>
                    <a:prstGeom prst="rect">
                      <a:avLst/>
                    </a:prstGeom>
                  </pic:spPr>
                </pic:pic>
              </a:graphicData>
            </a:graphic>
          </wp:anchor>
        </w:drawing>
      </w:r>
      <w:r>
        <w:rPr>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501 N. DALE ST., SUITE 203, SAINT PAUL, MN 55103</w:t>
      </w:r>
    </w:p>
    <w:p>
      <w:pPr>
        <w:pStyle w:val="Normal"/>
        <w:spacing w:lineRule="auto" w:line="288"/>
        <w:rPr>
          <w:b/>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PHONE: (651) 225-8778</w:t>
      </w:r>
    </w:p>
    <w:p>
      <w:pPr>
        <w:pStyle w:val="Normal"/>
        <w:spacing w:lineRule="auto" w:line="288"/>
        <w:rPr>
          <w:b/>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FAX: (651) 225-4160</w:t>
      </w:r>
    </w:p>
    <w:p>
      <w:pPr>
        <w:pStyle w:val="Normal"/>
        <w:spacing w:lineRule="auto" w:line="288"/>
        <w:rPr>
          <w:b/>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E-MAIL: csp501dale@gmail.com</w:t>
      </w:r>
    </w:p>
    <w:p>
      <w:pPr>
        <w:pStyle w:val="Normal"/>
        <w:spacing w:lineRule="auto" w:line="288"/>
        <w:rPr>
          <w:b/>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24"/>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WEBSITE: http://csp501dale.wix.com/communitystabproject</w:t>
      </w:r>
    </w:p>
    <w:p>
      <w:pPr>
        <w:pStyle w:val="Normal"/>
        <w:rPr>
          <w:b/>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r>
    </w:p>
    <w:p>
      <w:pPr>
        <w:pStyle w:val="Normal"/>
        <w:jc w:val="center"/>
        <w:rPr>
          <w:b/>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Each Phone Call is an Opportunity</w:t>
      </w:r>
    </w:p>
    <w:p>
      <w:pPr>
        <w:pStyle w:val="NoSpacing"/>
        <w:ind w:left="360" w:right="360" w:hanging="0"/>
        <w:rPr/>
      </w:pPr>
      <w:r>
        <w:rPr/>
        <w:t>Community Stabilization Project (CSP) informs, educates, organizes, and advocates for social and economically disadvantaged tenants, preventing evictions and ensuring their rights are enforced. Through training, outreach, and a tenant hotline, CSP ensures that tenants and landlords alike are taking action to prevent displacement and to preserve stable, livable, healthy, and affordable housing across Frogtown and Rondo and beyond.</w:t>
      </w:r>
    </w:p>
    <w:p>
      <w:pPr>
        <w:pStyle w:val="NoSpacing"/>
        <w:ind w:left="360" w:right="360" w:hanging="0"/>
        <w:rPr/>
      </w:pPr>
      <w:r>
        <w:rPr/>
      </w:r>
    </w:p>
    <w:p>
      <w:pPr>
        <w:pStyle w:val="NoSpacing"/>
        <w:ind w:left="360" w:right="360" w:hanging="0"/>
        <w:rPr/>
      </w:pPr>
      <w:r>
        <w:rPr>
          <w:b/>
        </w:rPr>
        <w:t xml:space="preserve">Without CSP, no organization would be there to stand up for—and with—most of these distressed tenants. </w:t>
      </w:r>
      <w:r>
        <w:rPr/>
        <w:t>CSP’s grassroots connections and strong base of local volunteers ensures it can be the first point of contact for tenants in need and can intervene to improve their stability and, in doing so, the stability of their communities.</w:t>
      </w:r>
    </w:p>
    <w:p>
      <w:pPr>
        <w:pStyle w:val="NoSpacing"/>
        <w:rPr/>
      </w:pPr>
      <w:r>
        <w:rPr/>
      </w:r>
    </w:p>
    <w:p>
      <w:pPr>
        <w:pStyle w:val="Normal"/>
        <w:jc w:val="center"/>
        <w:rPr>
          <w:b/>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A Range of Services</w:t>
      </w:r>
    </w:p>
    <w:p>
      <w:pPr>
        <w:pStyle w:val="NoSpacing"/>
        <w:ind w:left="360" w:hanging="0"/>
        <w:rPr/>
      </w:pPr>
      <w:r>
        <w:rPr/>
        <w:t>CSP provides the following services, support, and advocacy on a regular basis:</w:t>
      </w:r>
    </w:p>
    <w:p>
      <w:pPr>
        <w:pStyle w:val="NoSpacing"/>
        <w:numPr>
          <w:ilvl w:val="0"/>
          <w:numId w:val="1"/>
        </w:numPr>
        <w:rPr/>
      </w:pPr>
      <w:r>
        <w:rPr/>
        <w:t>Tenant-landlord training on housing search, retention, rights, and responsibilities</w:t>
      </w:r>
    </w:p>
    <w:p>
      <w:pPr>
        <w:pStyle w:val="NoSpacing"/>
        <w:numPr>
          <w:ilvl w:val="0"/>
          <w:numId w:val="1"/>
        </w:numPr>
        <w:rPr/>
      </w:pPr>
      <w:r>
        <w:rPr/>
        <w:t>Individualized counseling and hotline services to tenants facing distressed situations</w:t>
      </w:r>
    </w:p>
    <w:p>
      <w:pPr>
        <w:pStyle w:val="NoSpacing"/>
        <w:numPr>
          <w:ilvl w:val="0"/>
          <w:numId w:val="1"/>
        </w:numPr>
        <w:rPr/>
      </w:pPr>
      <w:r>
        <w:rPr/>
        <w:t>Specific education on issues like tenant screenings and unlawful detainers</w:t>
      </w:r>
    </w:p>
    <w:p>
      <w:pPr>
        <w:pStyle w:val="NoSpacing"/>
        <w:numPr>
          <w:ilvl w:val="0"/>
          <w:numId w:val="1"/>
        </w:numPr>
        <w:rPr/>
      </w:pPr>
      <w:r>
        <w:rPr/>
        <w:t>Assistance tenants in negotiations and court proceedings</w:t>
      </w:r>
    </w:p>
    <w:p>
      <w:pPr>
        <w:pStyle w:val="NoSpacing"/>
        <w:numPr>
          <w:ilvl w:val="0"/>
          <w:numId w:val="1"/>
        </w:numPr>
        <w:rPr/>
      </w:pPr>
      <w:r>
        <w:rPr/>
        <w:t>Referrals for tenants/Landlords in units facing Revocation of CO or other unstable housing circumstances</w:t>
      </w:r>
    </w:p>
    <w:p>
      <w:pPr>
        <w:pStyle w:val="NoSpacing"/>
        <w:numPr>
          <w:ilvl w:val="0"/>
          <w:numId w:val="1"/>
        </w:numPr>
        <w:rPr/>
      </w:pPr>
      <w:r>
        <w:rPr/>
        <w:t>Operation of an Emergency Rental Assistance Program for tenants facing eviction</w:t>
      </w:r>
    </w:p>
    <w:p>
      <w:pPr>
        <w:pStyle w:val="NoSpacing"/>
        <w:numPr>
          <w:ilvl w:val="0"/>
          <w:numId w:val="1"/>
        </w:numPr>
        <w:rPr/>
      </w:pPr>
      <w:r>
        <w:rPr/>
        <w:t>Support to tenants in acting on their rights to use the Tenant Remedies Act (TRA)</w:t>
      </w:r>
    </w:p>
    <w:p>
      <w:pPr>
        <w:pStyle w:val="NoSpacing"/>
        <w:numPr>
          <w:ilvl w:val="0"/>
          <w:numId w:val="1"/>
        </w:numPr>
        <w:rPr/>
      </w:pPr>
      <w:r>
        <w:rPr/>
        <w:t xml:space="preserve">Advocacy for the enforcement and improvement of laws such as the Cold Weather Rule &amp; DSI </w:t>
      </w:r>
    </w:p>
    <w:p>
      <w:pPr>
        <w:pStyle w:val="NoSpacing"/>
        <w:numPr>
          <w:ilvl w:val="0"/>
          <w:numId w:val="1"/>
        </w:numPr>
        <w:rPr/>
      </w:pPr>
      <w:r>
        <w:rPr/>
        <w:t>Connection of tenants to other resources they need, from job training to mental health services</w:t>
      </w:r>
    </w:p>
    <w:p>
      <w:pPr>
        <w:pStyle w:val="NoSpacing"/>
        <w:rPr/>
      </w:pPr>
      <w:r>
        <w:rPr/>
      </w:r>
    </w:p>
    <w:p>
      <w:pPr>
        <w:pStyle w:val="NoSpacing"/>
        <w:rPr/>
      </w:pPr>
      <w:r>
        <w:rPr/>
      </w:r>
    </w:p>
    <w:p>
      <w:pPr>
        <w:pStyle w:val="Normal"/>
        <w:spacing w:before="0" w:after="360"/>
        <w:jc w:val="center"/>
        <w:rPr>
          <w:b/>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36"/>
          <w:szCs w:val="3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A Model for Empowerment</w:t>
      </w:r>
    </w:p>
    <w:tbl>
      <w:tblPr>
        <w:tblStyle w:val="TableGrid"/>
        <w:tblW w:w="11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54"/>
        <w:gridCol w:w="2754"/>
        <w:gridCol w:w="2755"/>
        <w:gridCol w:w="2752"/>
      </w:tblGrid>
      <w:tr>
        <w:trPr/>
        <w:tc>
          <w:tcPr>
            <w:tcW w:w="2754" w:type="dxa"/>
            <w:tcBorders>
              <w:top w:val="nil"/>
              <w:left w:val="nil"/>
              <w:bottom w:val="nil"/>
              <w:right w:val="nil"/>
            </w:tcBorders>
          </w:tcPr>
          <w:p>
            <w:pPr>
              <w:pStyle w:val="NoSpacing"/>
              <w:widowControl w:val="false"/>
              <w:suppressAutoHyphens w:val="true"/>
              <w:spacing w:before="0" w:after="0"/>
              <w:jc w:val="center"/>
              <w:rPr>
                <w:b/>
                <w:b/>
              </w:rPr>
            </w:pPr>
            <w:r>
              <w:rPr>
                <w:rFonts w:eastAsia="Calibri" w:cs=""/>
                <w:b/>
                <w:kern w:val="0"/>
                <w:sz w:val="22"/>
                <w:szCs w:val="22"/>
                <w:lang w:val="en-US" w:eastAsia="en-US" w:bidi="ar-SA"/>
              </w:rPr>
              <w:t>INTAKE/ADVOCACY</w:t>
            </w:r>
          </w:p>
          <w:p>
            <w:pPr>
              <w:pStyle w:val="NoSpacing"/>
              <w:widowControl w:val="false"/>
              <w:suppressAutoHyphens w:val="true"/>
              <w:spacing w:before="0" w:after="0"/>
              <w:jc w:val="center"/>
              <w:rPr>
                <w:rFonts w:ascii="Calibri" w:hAnsi="Calibri" w:eastAsia="Calibri" w:cs=""/>
                <w:kern w:val="0"/>
                <w:lang w:val="en-US" w:eastAsia="en-US" w:bidi="ar-SA"/>
              </w:rPr>
            </w:pPr>
            <w:r>
              <mc:AlternateContent>
                <mc:Choice Requires="wps">
                  <w:drawing>
                    <wp:anchor behindDoc="0" distT="0" distB="0" distL="0" distR="0" simplePos="0" locked="0" layoutInCell="1" allowOverlap="1" relativeHeight="3" wp14:anchorId="75ECA2EC">
                      <wp:simplePos x="0" y="0"/>
                      <wp:positionH relativeFrom="column">
                        <wp:posOffset>1559560</wp:posOffset>
                      </wp:positionH>
                      <wp:positionV relativeFrom="paragraph">
                        <wp:posOffset>406400</wp:posOffset>
                      </wp:positionV>
                      <wp:extent cx="182245" cy="182245"/>
                      <wp:effectExtent l="0" t="19050" r="47625" b="47625"/>
                      <wp:wrapNone/>
                      <wp:docPr id="2" name="Right Arrow 5"/>
                      <a:graphic xmlns:a="http://schemas.openxmlformats.org/drawingml/2006/main">
                        <a:graphicData uri="http://schemas.microsoft.com/office/word/2010/wordprocessingShape">
                          <wps:wsp>
                            <wps:cNvSpPr/>
                            <wps:spPr>
                              <a:xfrm>
                                <a:off x="0" y="0"/>
                                <a:ext cx="181440" cy="181440"/>
                              </a:xfrm>
                              <a:prstGeom prs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Right Arrow 5" path="l-2147483635,-2147483631l-2147483635,0l-2147483622,-2147483632l-2147483635,-2147483623l-2147483635,-2147483629l0,-2147483629xe" fillcolor="#4f81bd" stroked="t" style="position:absolute;margin-left:122.8pt;margin-top:32pt;width:14.25pt;height:14.25pt;mso-wrap-style:none;v-text-anchor:middle" wp14:anchorId="75ECA2EC" type="shapetype_13">
                      <v:fill o:detectmouseclick="t" type="solid" color2="#b07e42"/>
                      <v:stroke color="#3a5f8b" weight="25560" joinstyle="round" endcap="flat"/>
                      <w10:wrap type="none"/>
                    </v:shape>
                  </w:pict>
                </mc:Fallback>
              </mc:AlternateContent>
            </w:r>
            <w:r>
              <w:rPr>
                <w:rFonts w:eastAsia="Calibri" w:cs=""/>
                <w:kern w:val="0"/>
                <w:sz w:val="22"/>
                <w:szCs w:val="22"/>
                <w:lang w:val="en-US" w:eastAsia="en-US" w:bidi="ar-SA"/>
              </w:rPr>
              <w:t xml:space="preserve">CSP reaches tenants, Landlords </w:t>
            </w:r>
            <w:r>
              <w:rPr>
                <w:rFonts w:eastAsia="Calibri" w:cs=""/>
                <w:kern w:val="0"/>
                <w:sz w:val="16"/>
                <w:szCs w:val="16"/>
                <w:lang w:val="en-US" w:eastAsia="en-US" w:bidi="ar-SA"/>
              </w:rPr>
              <w:t>&amp;</w:t>
            </w:r>
            <w:r>
              <w:rPr>
                <w:rFonts w:eastAsia="Calibri" w:cs=""/>
                <w:kern w:val="0"/>
                <w:sz w:val="22"/>
                <w:szCs w:val="22"/>
                <w:lang w:val="en-US" w:eastAsia="en-US" w:bidi="ar-SA"/>
              </w:rPr>
              <w:t xml:space="preserve"> homeowners through walk-ins, phone calls, referrals, and direct outreach, and then immediately works to establish a stable community housing relationship.</w:t>
            </w:r>
          </w:p>
        </w:tc>
        <w:tc>
          <w:tcPr>
            <w:tcW w:w="2754" w:type="dxa"/>
            <w:tcBorders>
              <w:top w:val="nil"/>
              <w:left w:val="nil"/>
              <w:bottom w:val="nil"/>
              <w:right w:val="nil"/>
            </w:tcBorders>
          </w:tcPr>
          <w:p>
            <w:pPr>
              <w:pStyle w:val="NoSpacing"/>
              <w:widowControl w:val="false"/>
              <w:suppressAutoHyphens w:val="true"/>
              <w:spacing w:before="0" w:after="0"/>
              <w:jc w:val="center"/>
              <w:rPr>
                <w:b/>
                <w:b/>
              </w:rPr>
            </w:pPr>
            <w:r>
              <w:rPr>
                <w:rFonts w:eastAsia="Calibri" w:cs=""/>
                <w:b/>
                <w:kern w:val="0"/>
                <w:sz w:val="22"/>
                <w:szCs w:val="22"/>
                <w:lang w:val="en-US" w:eastAsia="en-US" w:bidi="ar-SA"/>
              </w:rPr>
              <w:t>EDUCATION</w:t>
            </w:r>
          </w:p>
          <w:p>
            <w:pPr>
              <w:pStyle w:val="NoSpacing"/>
              <w:widowControl w:val="false"/>
              <w:suppressAutoHyphens w:val="true"/>
              <w:spacing w:before="0" w:after="0"/>
              <w:jc w:val="center"/>
              <w:rPr>
                <w:rFonts w:ascii="Calibri" w:hAnsi="Calibri" w:eastAsia="Calibri" w:cs=""/>
                <w:kern w:val="0"/>
                <w:sz w:val="22"/>
                <w:szCs w:val="22"/>
                <w:lang w:val="en-US" w:eastAsia="en-US" w:bidi="ar-SA"/>
              </w:rPr>
            </w:pPr>
            <w:r>
              <mc:AlternateContent>
                <mc:Choice Requires="wps">
                  <w:drawing>
                    <wp:anchor behindDoc="0" distT="0" distB="0" distL="0" distR="0" simplePos="0" locked="0" layoutInCell="1" allowOverlap="1" relativeHeight="4" wp14:anchorId="522F4159">
                      <wp:simplePos x="0" y="0"/>
                      <wp:positionH relativeFrom="column">
                        <wp:posOffset>1563370</wp:posOffset>
                      </wp:positionH>
                      <wp:positionV relativeFrom="paragraph">
                        <wp:posOffset>417195</wp:posOffset>
                      </wp:positionV>
                      <wp:extent cx="182245" cy="182245"/>
                      <wp:effectExtent l="0" t="19050" r="47625" b="47625"/>
                      <wp:wrapNone/>
                      <wp:docPr id="3" name="Right Arrow 6"/>
                      <a:graphic xmlns:a="http://schemas.openxmlformats.org/drawingml/2006/main">
                        <a:graphicData uri="http://schemas.microsoft.com/office/word/2010/wordprocessingShape">
                          <wps:wsp>
                            <wps:cNvSpPr/>
                            <wps:spPr>
                              <a:xfrm>
                                <a:off x="0" y="0"/>
                                <a:ext cx="181440" cy="181440"/>
                              </a:xfrm>
                              <a:prstGeom prs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Right Arrow 6" path="l-2147483635,-2147483631l-2147483635,0l-2147483622,-2147483632l-2147483635,-2147483623l-2147483635,-2147483629l0,-2147483629xe" fillcolor="#4f81bd" stroked="t" style="position:absolute;margin-left:123.1pt;margin-top:32.85pt;width:14.25pt;height:14.25pt;mso-wrap-style:none;v-text-anchor:middle" wp14:anchorId="522F4159" type="shapetype_13">
                      <v:fill o:detectmouseclick="t" type="solid" color2="#b07e42"/>
                      <v:stroke color="#3a5f8b" weight="25560" joinstyle="round" endcap="flat"/>
                      <w10:wrap type="none"/>
                    </v:shape>
                  </w:pict>
                </mc:Fallback>
              </mc:AlternateContent>
            </w:r>
            <w:r>
              <w:rPr>
                <w:rFonts w:eastAsia="Calibri" w:cs=""/>
                <w:kern w:val="0"/>
                <w:sz w:val="22"/>
                <w:szCs w:val="22"/>
                <w:lang w:val="en-US" w:eastAsia="en-US" w:bidi="ar-SA"/>
              </w:rPr>
              <w:t>CSP offers a rotating six-week tenant/landlord training, providing each with a full understanding</w:t>
            </w:r>
          </w:p>
          <w:p>
            <w:pPr>
              <w:pStyle w:val="NoSpacing"/>
              <w:widowControl w:val="false"/>
              <w:suppressAutoHyphens w:val="true"/>
              <w:spacing w:before="0" w:after="0"/>
              <w:jc w:val="center"/>
              <w:rPr>
                <w:rFonts w:ascii="Calibri" w:hAnsi="Calibri" w:eastAsia="Calibri" w:cs=""/>
                <w:kern w:val="0"/>
                <w:sz w:val="22"/>
                <w:szCs w:val="22"/>
                <w:lang w:val="en-US" w:eastAsia="en-US" w:bidi="ar-SA"/>
              </w:rPr>
            </w:pPr>
            <w:r>
              <w:rPr>
                <w:rFonts w:eastAsia="Calibri" w:cs=""/>
                <w:kern w:val="0"/>
                <w:sz w:val="22"/>
                <w:szCs w:val="22"/>
                <w:lang w:val="en-US" w:eastAsia="en-US" w:bidi="ar-SA"/>
              </w:rPr>
              <w:t>of tenant rights and their respective responsibilities.</w:t>
            </w:r>
          </w:p>
        </w:tc>
        <w:tc>
          <w:tcPr>
            <w:tcW w:w="2755" w:type="dxa"/>
            <w:tcBorders>
              <w:top w:val="nil"/>
              <w:left w:val="nil"/>
              <w:bottom w:val="nil"/>
              <w:right w:val="nil"/>
            </w:tcBorders>
          </w:tcPr>
          <w:p>
            <w:pPr>
              <w:pStyle w:val="NoSpacing"/>
              <w:widowControl w:val="false"/>
              <w:suppressAutoHyphens w:val="true"/>
              <w:spacing w:before="0" w:after="0"/>
              <w:jc w:val="center"/>
              <w:rPr>
                <w:b/>
                <w:b/>
              </w:rPr>
            </w:pPr>
            <w:r>
              <w:rPr>
                <w:rFonts w:eastAsia="Calibri" w:cs=""/>
                <w:b/>
                <w:kern w:val="0"/>
                <w:sz w:val="22"/>
                <w:szCs w:val="22"/>
                <w:lang w:val="en-US" w:eastAsia="en-US" w:bidi="ar-SA"/>
              </w:rPr>
              <w:t>ORGANIZING</w:t>
            </w:r>
          </w:p>
          <w:p>
            <w:pPr>
              <w:pStyle w:val="NoSpacing"/>
              <w:widowControl w:val="false"/>
              <w:suppressAutoHyphens w:val="true"/>
              <w:spacing w:before="0" w:after="0"/>
              <w:jc w:val="center"/>
              <w:rPr>
                <w:rFonts w:ascii="Calibri" w:hAnsi="Calibri" w:eastAsia="Calibri" w:cs=""/>
                <w:kern w:val="0"/>
                <w:sz w:val="22"/>
                <w:szCs w:val="22"/>
                <w:lang w:val="en-US" w:eastAsia="en-US" w:bidi="ar-SA"/>
              </w:rPr>
            </w:pPr>
            <w:r>
              <mc:AlternateContent>
                <mc:Choice Requires="wps">
                  <w:drawing>
                    <wp:anchor behindDoc="0" distT="0" distB="0" distL="0" distR="0" simplePos="0" locked="0" layoutInCell="1" allowOverlap="1" relativeHeight="5" wp14:anchorId="31247C16">
                      <wp:simplePos x="0" y="0"/>
                      <wp:positionH relativeFrom="column">
                        <wp:posOffset>1560830</wp:posOffset>
                      </wp:positionH>
                      <wp:positionV relativeFrom="paragraph">
                        <wp:posOffset>422910</wp:posOffset>
                      </wp:positionV>
                      <wp:extent cx="182245" cy="182245"/>
                      <wp:effectExtent l="0" t="19050" r="47625" b="47625"/>
                      <wp:wrapNone/>
                      <wp:docPr id="4" name="Right Arrow 7"/>
                      <a:graphic xmlns:a="http://schemas.openxmlformats.org/drawingml/2006/main">
                        <a:graphicData uri="http://schemas.microsoft.com/office/word/2010/wordprocessingShape">
                          <wps:wsp>
                            <wps:cNvSpPr/>
                            <wps:spPr>
                              <a:xfrm>
                                <a:off x="0" y="0"/>
                                <a:ext cx="181440" cy="181440"/>
                              </a:xfrm>
                              <a:prstGeom prs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Right Arrow 7" path="l-2147483635,-2147483631l-2147483635,0l-2147483622,-2147483632l-2147483635,-2147483623l-2147483635,-2147483629l0,-2147483629xe" fillcolor="#4f81bd" stroked="t" style="position:absolute;margin-left:122.9pt;margin-top:33.3pt;width:14.25pt;height:14.25pt;mso-wrap-style:none;v-text-anchor:middle" wp14:anchorId="31247C16" type="shapetype_13">
                      <v:fill o:detectmouseclick="t" type="solid" color2="#b07e42"/>
                      <v:stroke color="#3a5f8b" weight="25560" joinstyle="round" endcap="flat"/>
                      <w10:wrap type="none"/>
                    </v:shape>
                  </w:pict>
                </mc:Fallback>
              </mc:AlternateContent>
            </w:r>
            <w:r>
              <w:rPr>
                <w:rFonts w:eastAsia="Calibri" w:cs=""/>
                <w:kern w:val="0"/>
                <w:sz w:val="22"/>
                <w:szCs w:val="22"/>
                <w:lang w:val="en-US" w:eastAsia="en-US" w:bidi="ar-SA"/>
              </w:rPr>
              <w:t>After forming a relationship with tenants/landlords, CSP works with them and its community partners to address identified needs and pursue new policies and programs.</w:t>
            </w:r>
          </w:p>
          <w:p>
            <w:pPr>
              <w:pStyle w:val="NoSpacing"/>
              <w:widowControl w:val="false"/>
              <w:suppressAutoHyphens w:val="true"/>
              <w:spacing w:before="0" w:after="0"/>
              <w:jc w:val="center"/>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2752" w:type="dxa"/>
            <w:tcBorders>
              <w:top w:val="nil"/>
              <w:left w:val="nil"/>
              <w:bottom w:val="nil"/>
              <w:right w:val="nil"/>
            </w:tcBorders>
          </w:tcPr>
          <w:p>
            <w:pPr>
              <w:pStyle w:val="NoSpacing"/>
              <w:widowControl w:val="false"/>
              <w:suppressAutoHyphens w:val="true"/>
              <w:spacing w:before="0" w:after="0"/>
              <w:jc w:val="center"/>
              <w:rPr>
                <w:b/>
                <w:b/>
              </w:rPr>
            </w:pPr>
            <w:r>
              <w:rPr>
                <w:rFonts w:eastAsia="Calibri" w:cs=""/>
                <w:b/>
                <w:kern w:val="0"/>
                <w:sz w:val="22"/>
                <w:szCs w:val="22"/>
                <w:lang w:val="en-US" w:eastAsia="en-US" w:bidi="ar-SA"/>
              </w:rPr>
              <w:t>POLICY</w:t>
            </w:r>
          </w:p>
          <w:p>
            <w:pPr>
              <w:pStyle w:val="NoSpacing"/>
              <w:widowControl w:val="false"/>
              <w:suppressAutoHyphens w:val="true"/>
              <w:spacing w:before="0" w:after="0"/>
              <w:jc w:val="center"/>
              <w:rPr>
                <w:rFonts w:ascii="Calibri" w:hAnsi="Calibri" w:eastAsia="Calibri" w:cs=""/>
                <w:kern w:val="0"/>
                <w:sz w:val="22"/>
                <w:szCs w:val="22"/>
                <w:lang w:val="en-US" w:eastAsia="en-US" w:bidi="ar-SA"/>
              </w:rPr>
            </w:pPr>
            <w:r>
              <w:rPr>
                <w:rFonts w:eastAsia="Calibri" w:cs=""/>
                <w:kern w:val="0"/>
                <w:sz w:val="22"/>
                <w:szCs w:val="22"/>
                <w:lang w:val="en-US" w:eastAsia="en-US" w:bidi="ar-SA"/>
              </w:rPr>
              <w:t>CSP works with its communities and its legislators to advocate for housing policies that remove barriers and improve</w:t>
            </w:r>
            <w:bookmarkStart w:id="0" w:name="_GoBack"/>
            <w:bookmarkEnd w:id="0"/>
            <w:r>
              <w:rPr>
                <w:rFonts w:eastAsia="Calibri" w:cs=""/>
                <w:kern w:val="0"/>
                <w:sz w:val="22"/>
                <w:szCs w:val="22"/>
                <w:lang w:val="en-US" w:eastAsia="en-US" w:bidi="ar-SA"/>
              </w:rPr>
              <w:t xml:space="preserve"> opportunities.</w:t>
            </w:r>
          </w:p>
        </w:tc>
      </w:tr>
    </w:tbl>
    <w:p>
      <w:pPr>
        <w:pStyle w:val="Normal"/>
        <w:spacing w:before="0" w:after="200"/>
        <w:rPr>
          <w:b/>
          <w:b/>
          <w:color w:val="4F81BD" w:themeColor="accent1"/>
          <w:sz w:val="28"/>
          <w:szCs w:val="28"/>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15"/>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66487"/>
    <w:rPr>
      <w:rFonts w:ascii="Tahoma" w:hAnsi="Tahoma" w:cs="Tahoma"/>
      <w:sz w:val="16"/>
      <w:szCs w:val="16"/>
    </w:rPr>
  </w:style>
  <w:style w:type="character" w:styleId="InternetLink">
    <w:name w:val="Hyperlink"/>
    <w:basedOn w:val="DefaultParagraphFont"/>
    <w:uiPriority w:val="99"/>
    <w:unhideWhenUsed/>
    <w:rsid w:val="007f6d8f"/>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66487"/>
    <w:pPr>
      <w:spacing w:lineRule="auto" w:line="240" w:before="0" w:after="0"/>
    </w:pPr>
    <w:rPr>
      <w:rFonts w:ascii="Tahoma" w:hAnsi="Tahoma" w:cs="Tahoma"/>
      <w:sz w:val="16"/>
      <w:szCs w:val="16"/>
    </w:rPr>
  </w:style>
  <w:style w:type="paragraph" w:styleId="NoSpacing">
    <w:name w:val="No Spacing"/>
    <w:uiPriority w:val="1"/>
    <w:qFormat/>
    <w:rsid w:val="00c3217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a866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LibreOffice/7.1.1.2$Windows_X86_64 LibreOffice_project/fe0b08f4af1bacafe4c7ecc87ce55bb426164676</Application>
  <AppVersion>15.0000</AppVersion>
  <Pages>2</Pages>
  <Words>368</Words>
  <Characters>2190</Characters>
  <CharactersWithSpaces>2519</CharactersWithSpaces>
  <Paragraphs>29</Paragraphs>
  <Company>PCs for People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2016-01-15T17:28:00Z</dcterms:created>
  <dc:creator>Carolyn</dc:creator>
  <dc:description/>
  <dc:language>en-US</dc:language>
  <cp:lastModifiedBy/>
  <cp:lastPrinted>2016-01-15T17:42:00Z</cp:lastPrinted>
  <dcterms:modified xsi:type="dcterms:W3CDTF">2023-03-06T08:59:44Z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