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F" w:rsidRDefault="001B303F" w:rsidP="009E44AA">
      <w:pPr>
        <w:jc w:val="center"/>
        <w:rPr>
          <w:b/>
          <w:sz w:val="32"/>
          <w:szCs w:val="32"/>
        </w:rPr>
      </w:pPr>
    </w:p>
    <w:p w:rsidR="009E44AA" w:rsidRPr="009267BD" w:rsidRDefault="009E44AA" w:rsidP="009E44AA">
      <w:pPr>
        <w:jc w:val="center"/>
        <w:rPr>
          <w:b/>
          <w:sz w:val="32"/>
          <w:szCs w:val="32"/>
        </w:rPr>
      </w:pPr>
      <w:r w:rsidRPr="009267BD">
        <w:rPr>
          <w:b/>
          <w:sz w:val="32"/>
          <w:szCs w:val="32"/>
        </w:rPr>
        <w:t>S.F. 1047</w:t>
      </w:r>
    </w:p>
    <w:p w:rsidR="009E44AA" w:rsidRDefault="00B65751" w:rsidP="009E44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Language Items with Substantive Differences</w:t>
      </w:r>
    </w:p>
    <w:p w:rsidR="00C23F31" w:rsidRDefault="00C23F31" w:rsidP="009E44AA">
      <w:pPr>
        <w:jc w:val="center"/>
        <w:rPr>
          <w:b/>
          <w:sz w:val="32"/>
          <w:szCs w:val="32"/>
        </w:rPr>
      </w:pPr>
    </w:p>
    <w:p w:rsidR="00605A97" w:rsidRPr="0088440A" w:rsidRDefault="00605A97" w:rsidP="009E44AA">
      <w:pPr>
        <w:jc w:val="center"/>
        <w:rPr>
          <w:b/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2610"/>
        <w:gridCol w:w="3348"/>
      </w:tblGrid>
      <w:tr w:rsidR="00C94273" w:rsidTr="001C22E7">
        <w:tc>
          <w:tcPr>
            <w:tcW w:w="3618" w:type="dxa"/>
          </w:tcPr>
          <w:p w:rsidR="00C94273" w:rsidRPr="004379BC" w:rsidRDefault="00C94273" w:rsidP="00EF43DC">
            <w:pPr>
              <w:rPr>
                <w:b/>
                <w:sz w:val="28"/>
                <w:szCs w:val="28"/>
              </w:rPr>
            </w:pPr>
            <w:r w:rsidRPr="004379BC">
              <w:rPr>
                <w:b/>
                <w:sz w:val="28"/>
                <w:szCs w:val="28"/>
              </w:rPr>
              <w:t>Senate</w:t>
            </w:r>
          </w:p>
        </w:tc>
        <w:tc>
          <w:tcPr>
            <w:tcW w:w="2610" w:type="dxa"/>
          </w:tcPr>
          <w:p w:rsidR="00C94273" w:rsidRPr="004379BC" w:rsidRDefault="00637D49" w:rsidP="00EF43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Page/Topic</w:t>
            </w:r>
          </w:p>
        </w:tc>
        <w:tc>
          <w:tcPr>
            <w:tcW w:w="3348" w:type="dxa"/>
          </w:tcPr>
          <w:p w:rsidR="00C94273" w:rsidRPr="004379BC" w:rsidRDefault="00C94273" w:rsidP="00EF43DC">
            <w:pPr>
              <w:rPr>
                <w:b/>
                <w:sz w:val="28"/>
                <w:szCs w:val="28"/>
              </w:rPr>
            </w:pPr>
            <w:r w:rsidRPr="004379BC">
              <w:rPr>
                <w:b/>
                <w:sz w:val="28"/>
                <w:szCs w:val="28"/>
              </w:rPr>
              <w:t>House</w:t>
            </w:r>
          </w:p>
        </w:tc>
      </w:tr>
      <w:tr w:rsidR="0044467A" w:rsidTr="001C22E7">
        <w:tc>
          <w:tcPr>
            <w:tcW w:w="3618" w:type="dxa"/>
          </w:tcPr>
          <w:p w:rsidR="0044467A" w:rsidRDefault="0044467A" w:rsidP="00EF43DC"/>
        </w:tc>
        <w:tc>
          <w:tcPr>
            <w:tcW w:w="2610" w:type="dxa"/>
          </w:tcPr>
          <w:p w:rsidR="0044467A" w:rsidRPr="007375C8" w:rsidRDefault="0044467A" w:rsidP="003778C9">
            <w:pPr>
              <w:rPr>
                <w:b/>
              </w:rPr>
            </w:pPr>
            <w:r>
              <w:rPr>
                <w:b/>
              </w:rPr>
              <w:t>R18: Problem gambling</w:t>
            </w:r>
          </w:p>
        </w:tc>
        <w:tc>
          <w:tcPr>
            <w:tcW w:w="3348" w:type="dxa"/>
          </w:tcPr>
          <w:p w:rsidR="00E80669" w:rsidRDefault="00CD6E47" w:rsidP="00E80669">
            <w:r>
              <w:t>--</w:t>
            </w:r>
            <w:r w:rsidR="00A41E17">
              <w:t xml:space="preserve">$50,000 of the appropriation is contingent on a match. </w:t>
            </w:r>
          </w:p>
          <w:p w:rsidR="0044467A" w:rsidRDefault="00E80669" w:rsidP="00E80669">
            <w:r>
              <w:t>--</w:t>
            </w:r>
            <w:r w:rsidR="00A41E17">
              <w:t>Onetime appropriations</w:t>
            </w:r>
          </w:p>
        </w:tc>
      </w:tr>
      <w:tr w:rsidR="001B4211" w:rsidTr="001C22E7">
        <w:tc>
          <w:tcPr>
            <w:tcW w:w="3618" w:type="dxa"/>
          </w:tcPr>
          <w:p w:rsidR="006E3517" w:rsidRDefault="00F43D87" w:rsidP="00EF43DC">
            <w:r>
              <w:t>--</w:t>
            </w:r>
            <w:r w:rsidR="00FA777B">
              <w:t xml:space="preserve">General reduction applies to judicial branch, as well as executive.  Separate reduction specified for legislature. </w:t>
            </w:r>
            <w:r w:rsidR="007E4119">
              <w:t xml:space="preserve">  </w:t>
            </w:r>
          </w:p>
          <w:p w:rsidR="001B4211" w:rsidRDefault="00F43D87" w:rsidP="00EF43DC">
            <w:r>
              <w:t>--</w:t>
            </w:r>
            <w:r w:rsidR="007E4119">
              <w:t>Reductions made in 2013 are base reductions for 2014 and 2015</w:t>
            </w:r>
          </w:p>
        </w:tc>
        <w:tc>
          <w:tcPr>
            <w:tcW w:w="2610" w:type="dxa"/>
          </w:tcPr>
          <w:p w:rsidR="001B4211" w:rsidRPr="007375C8" w:rsidRDefault="001B4211" w:rsidP="006E4A37">
            <w:pPr>
              <w:rPr>
                <w:b/>
              </w:rPr>
            </w:pPr>
            <w:r>
              <w:rPr>
                <w:b/>
              </w:rPr>
              <w:t xml:space="preserve">R19: General </w:t>
            </w:r>
            <w:r w:rsidR="006E4A37">
              <w:rPr>
                <w:b/>
              </w:rPr>
              <w:t>reduction</w:t>
            </w:r>
          </w:p>
        </w:tc>
        <w:tc>
          <w:tcPr>
            <w:tcW w:w="3348" w:type="dxa"/>
          </w:tcPr>
          <w:p w:rsidR="001B4211" w:rsidRDefault="00F43D87" w:rsidP="00BC38D6">
            <w:r>
              <w:t>--</w:t>
            </w:r>
            <w:r w:rsidR="00FA777B">
              <w:t xml:space="preserve">General reduction applies to executive branch and excludes </w:t>
            </w:r>
            <w:proofErr w:type="spellStart"/>
            <w:r w:rsidR="00FA777B">
              <w:t>MnSCU</w:t>
            </w:r>
            <w:proofErr w:type="spellEnd"/>
            <w:r w:rsidR="00FA777B">
              <w:t xml:space="preserve">.  </w:t>
            </w:r>
          </w:p>
          <w:p w:rsidR="00F43D87" w:rsidRDefault="00F43D87" w:rsidP="00BC38D6"/>
          <w:p w:rsidR="00A63A6F" w:rsidRDefault="00C7391A" w:rsidP="00BC38D6">
            <w:r>
              <w:t>--</w:t>
            </w:r>
            <w:r w:rsidR="0043362E">
              <w:t>D</w:t>
            </w:r>
            <w:r w:rsidR="00A63A6F">
              <w:t>ifferences in descriptions of efficiencies and cost savings</w:t>
            </w:r>
          </w:p>
        </w:tc>
      </w:tr>
      <w:tr w:rsidR="00507FF3" w:rsidTr="001C22E7">
        <w:tc>
          <w:tcPr>
            <w:tcW w:w="3618" w:type="dxa"/>
          </w:tcPr>
          <w:p w:rsidR="00696301" w:rsidRDefault="00696301" w:rsidP="00EA6B8F"/>
          <w:p w:rsidR="00696301" w:rsidRDefault="00696301" w:rsidP="00EA6B8F"/>
          <w:p w:rsidR="00696301" w:rsidRDefault="00696301" w:rsidP="00EA6B8F"/>
          <w:p w:rsidR="00413D8F" w:rsidRDefault="00413D8F" w:rsidP="00EA6B8F"/>
          <w:p w:rsidR="00413D8F" w:rsidRDefault="00413D8F" w:rsidP="00EA6B8F"/>
          <w:p w:rsidR="00413D8F" w:rsidRDefault="00413D8F" w:rsidP="00EA6B8F"/>
          <w:p w:rsidR="00413D8F" w:rsidRDefault="00413D8F" w:rsidP="00EA6B8F"/>
          <w:p w:rsidR="00507FF3" w:rsidRDefault="00696301" w:rsidP="00EA6B8F">
            <w:r>
              <w:t xml:space="preserve">R40: </w:t>
            </w:r>
            <w:r w:rsidR="00EA6B8F">
              <w:t>ZBB a</w:t>
            </w:r>
            <w:r w:rsidR="00B739D2">
              <w:t>pplies to half of the programs each biennium</w:t>
            </w:r>
          </w:p>
        </w:tc>
        <w:tc>
          <w:tcPr>
            <w:tcW w:w="2610" w:type="dxa"/>
          </w:tcPr>
          <w:p w:rsidR="00507FF3" w:rsidRPr="007375C8" w:rsidRDefault="00C43574" w:rsidP="003778C9">
            <w:pPr>
              <w:rPr>
                <w:b/>
              </w:rPr>
            </w:pPr>
            <w:r w:rsidRPr="007375C8">
              <w:rPr>
                <w:b/>
              </w:rPr>
              <w:t>R</w:t>
            </w:r>
            <w:r w:rsidR="00921212">
              <w:rPr>
                <w:b/>
              </w:rPr>
              <w:t>38-</w:t>
            </w:r>
            <w:r w:rsidR="00074301">
              <w:rPr>
                <w:b/>
              </w:rPr>
              <w:t>40</w:t>
            </w:r>
            <w:r w:rsidRPr="007375C8">
              <w:rPr>
                <w:b/>
              </w:rPr>
              <w:t>: ZBB</w:t>
            </w:r>
            <w:r w:rsidR="00373DFC">
              <w:rPr>
                <w:b/>
              </w:rPr>
              <w:t>, performance data</w:t>
            </w:r>
          </w:p>
        </w:tc>
        <w:tc>
          <w:tcPr>
            <w:tcW w:w="3348" w:type="dxa"/>
          </w:tcPr>
          <w:p w:rsidR="00921212" w:rsidRDefault="00413D8F" w:rsidP="00EA6B8F">
            <w:r>
              <w:t>--</w:t>
            </w:r>
            <w:r w:rsidR="004923D0">
              <w:t xml:space="preserve"> R39</w:t>
            </w:r>
            <w:r w:rsidR="00E30006">
              <w:t>, line 33.3, House:</w:t>
            </w:r>
            <w:r w:rsidR="00921212">
              <w:t xml:space="preserve"> “except as provided by other law”</w:t>
            </w:r>
          </w:p>
          <w:p w:rsidR="00413D8F" w:rsidRDefault="00413D8F" w:rsidP="00EA6B8F">
            <w:r>
              <w:t>--R40: 33.11-16 requires that one alternative be less than prior biennium expenditures; requires options to be compared to zero.</w:t>
            </w:r>
          </w:p>
          <w:p w:rsidR="00507FF3" w:rsidRDefault="00413D8F" w:rsidP="00EA6B8F">
            <w:r>
              <w:t>--</w:t>
            </w:r>
            <w:r w:rsidR="00696301">
              <w:t xml:space="preserve">R41: </w:t>
            </w:r>
            <w:r w:rsidR="00EA6B8F">
              <w:t>ZBB a</w:t>
            </w:r>
            <w:r w:rsidR="00B739D2">
              <w:t>pplies</w:t>
            </w:r>
            <w:r w:rsidR="00BC38D6">
              <w:t xml:space="preserve"> to all programs</w:t>
            </w:r>
            <w:r w:rsidR="00B739D2">
              <w:t xml:space="preserve"> e</w:t>
            </w:r>
            <w:r w:rsidR="00BC38D6">
              <w:t>ach</w:t>
            </w:r>
            <w:r w:rsidR="00B739D2">
              <w:t xml:space="preserve"> biennium after phase-in</w:t>
            </w:r>
          </w:p>
        </w:tc>
      </w:tr>
      <w:tr w:rsidR="0002047F" w:rsidTr="001C22E7">
        <w:tc>
          <w:tcPr>
            <w:tcW w:w="3618" w:type="dxa"/>
          </w:tcPr>
          <w:p w:rsidR="00D56094" w:rsidRDefault="00D56094" w:rsidP="00220711"/>
          <w:p w:rsidR="00D56094" w:rsidRDefault="00D56094" w:rsidP="00220711"/>
          <w:p w:rsidR="00135F6C" w:rsidRDefault="00135F6C" w:rsidP="00D56094"/>
          <w:p w:rsidR="0002047F" w:rsidRDefault="00D56094" w:rsidP="00D56094">
            <w:r>
              <w:t>--R60: o</w:t>
            </w:r>
            <w:r w:rsidR="00220711">
              <w:t>ffset</w:t>
            </w:r>
            <w:r w:rsidR="00B44DA3">
              <w:t xml:space="preserve"> agreements with federal government</w:t>
            </w:r>
            <w:r w:rsidR="00874910">
              <w:t xml:space="preserve"> in chapter 270C</w:t>
            </w:r>
          </w:p>
        </w:tc>
        <w:tc>
          <w:tcPr>
            <w:tcW w:w="2610" w:type="dxa"/>
          </w:tcPr>
          <w:p w:rsidR="0002047F" w:rsidRPr="00B44DA3" w:rsidRDefault="00B44DA3" w:rsidP="00D56094">
            <w:pPr>
              <w:rPr>
                <w:b/>
              </w:rPr>
            </w:pPr>
            <w:r w:rsidRPr="00B44DA3">
              <w:rPr>
                <w:b/>
              </w:rPr>
              <w:t>R</w:t>
            </w:r>
            <w:r w:rsidR="00D56094">
              <w:rPr>
                <w:b/>
              </w:rPr>
              <w:t xml:space="preserve">50, </w:t>
            </w:r>
            <w:r w:rsidR="002D184C">
              <w:rPr>
                <w:b/>
              </w:rPr>
              <w:t>59-60</w:t>
            </w:r>
            <w:r w:rsidR="00650539">
              <w:rPr>
                <w:b/>
              </w:rPr>
              <w:t xml:space="preserve">: </w:t>
            </w:r>
            <w:r w:rsidRPr="00B44DA3">
              <w:rPr>
                <w:b/>
              </w:rPr>
              <w:t xml:space="preserve"> </w:t>
            </w:r>
            <w:r>
              <w:rPr>
                <w:b/>
              </w:rPr>
              <w:t>Federal</w:t>
            </w:r>
            <w:r w:rsidRPr="00B44DA3">
              <w:rPr>
                <w:b/>
              </w:rPr>
              <w:t xml:space="preserve"> offset </w:t>
            </w:r>
            <w:r w:rsidR="00D56094">
              <w:rPr>
                <w:b/>
              </w:rPr>
              <w:t>program</w:t>
            </w:r>
          </w:p>
        </w:tc>
        <w:tc>
          <w:tcPr>
            <w:tcW w:w="3348" w:type="dxa"/>
          </w:tcPr>
          <w:p w:rsidR="00D56094" w:rsidRDefault="00CC0BF5" w:rsidP="00220711">
            <w:r>
              <w:t>--</w:t>
            </w:r>
            <w:r w:rsidR="00431AF8">
              <w:t>No offset if debt is being contested or if time for appeal has not expired</w:t>
            </w:r>
          </w:p>
          <w:p w:rsidR="00135F6C" w:rsidRDefault="00135F6C" w:rsidP="00220711">
            <w:r>
              <w:t>--Effective immediately</w:t>
            </w:r>
          </w:p>
          <w:p w:rsidR="0002047F" w:rsidRPr="00220711" w:rsidRDefault="00D56094" w:rsidP="00431AF8">
            <w:r>
              <w:t>--</w:t>
            </w:r>
            <w:r w:rsidR="00431AF8">
              <w:t>N</w:t>
            </w:r>
            <w:r w:rsidR="00220711">
              <w:t xml:space="preserve">o House provision in chapter 270C. </w:t>
            </w:r>
          </w:p>
        </w:tc>
      </w:tr>
      <w:tr w:rsidR="009E50C2" w:rsidTr="009F5B07">
        <w:tc>
          <w:tcPr>
            <w:tcW w:w="3618" w:type="dxa"/>
          </w:tcPr>
          <w:p w:rsidR="009E50C2" w:rsidRDefault="00691D8B" w:rsidP="00691D8B">
            <w:r>
              <w:t>--Does not include employer insurance contributions if employee contributions are not decreased</w:t>
            </w:r>
          </w:p>
          <w:p w:rsidR="00920CA2" w:rsidRDefault="00920CA2" w:rsidP="00691D8B">
            <w:r>
              <w:t>--Several technical differences</w:t>
            </w:r>
          </w:p>
        </w:tc>
        <w:tc>
          <w:tcPr>
            <w:tcW w:w="2610" w:type="dxa"/>
          </w:tcPr>
          <w:p w:rsidR="009E50C2" w:rsidRDefault="009E50C2" w:rsidP="0046618F">
            <w:pPr>
              <w:rPr>
                <w:b/>
              </w:rPr>
            </w:pPr>
            <w:r>
              <w:rPr>
                <w:b/>
              </w:rPr>
              <w:t>R53: Salary freeze</w:t>
            </w:r>
          </w:p>
        </w:tc>
        <w:tc>
          <w:tcPr>
            <w:tcW w:w="3348" w:type="dxa"/>
          </w:tcPr>
          <w:p w:rsidR="009E50C2" w:rsidRDefault="00691D8B" w:rsidP="00655FE0">
            <w:r>
              <w:t>--Doesn’t mention insurance</w:t>
            </w:r>
          </w:p>
          <w:p w:rsidR="00691D8B" w:rsidRDefault="00691D8B" w:rsidP="00655FE0"/>
          <w:p w:rsidR="00691D8B" w:rsidRDefault="00691D8B" w:rsidP="00655FE0"/>
          <w:p w:rsidR="00691D8B" w:rsidRDefault="00691D8B" w:rsidP="00655FE0">
            <w:r>
              <w:t xml:space="preserve">--Excludes </w:t>
            </w:r>
            <w:proofErr w:type="spellStart"/>
            <w:r>
              <w:t>MnSCU</w:t>
            </w:r>
            <w:proofErr w:type="spellEnd"/>
          </w:p>
        </w:tc>
      </w:tr>
      <w:tr w:rsidR="00226644" w:rsidTr="009F5B07">
        <w:tc>
          <w:tcPr>
            <w:tcW w:w="3618" w:type="dxa"/>
          </w:tcPr>
          <w:p w:rsidR="00AE7B2B" w:rsidRDefault="00AE7B2B" w:rsidP="00EB00FD"/>
          <w:p w:rsidR="00EB00FD" w:rsidRDefault="00AE7B2B" w:rsidP="00EB00FD">
            <w:r>
              <w:t>--</w:t>
            </w:r>
            <w:r w:rsidR="00EB00FD">
              <w:t>Excludes peace officers, Military Affairs, Veterans Affairs, Corrections staff with 75% inmate contact, and State Patrol</w:t>
            </w:r>
          </w:p>
          <w:p w:rsidR="00AE7B2B" w:rsidRDefault="00AE7B2B" w:rsidP="00EB00FD">
            <w:r>
              <w:t>--Authorizes contract  with MSRS for analysis</w:t>
            </w:r>
          </w:p>
          <w:p w:rsidR="00860151" w:rsidRDefault="00860151" w:rsidP="00EB00FD">
            <w:r>
              <w:t>--Specifies no unfair labor practice under PELRA</w:t>
            </w:r>
          </w:p>
        </w:tc>
        <w:tc>
          <w:tcPr>
            <w:tcW w:w="2610" w:type="dxa"/>
          </w:tcPr>
          <w:p w:rsidR="00226644" w:rsidRDefault="00226644" w:rsidP="0046618F">
            <w:pPr>
              <w:rPr>
                <w:b/>
              </w:rPr>
            </w:pPr>
            <w:r>
              <w:rPr>
                <w:b/>
              </w:rPr>
              <w:t>R56; 15% reduction in state work force</w:t>
            </w:r>
          </w:p>
        </w:tc>
        <w:tc>
          <w:tcPr>
            <w:tcW w:w="3348" w:type="dxa"/>
          </w:tcPr>
          <w:p w:rsidR="00226644" w:rsidRDefault="00EB00FD" w:rsidP="00655FE0">
            <w:r>
              <w:t>Requires 12% reduction by June 30, 2013</w:t>
            </w:r>
          </w:p>
        </w:tc>
      </w:tr>
      <w:tr w:rsidR="009F5B07" w:rsidTr="009F5B07">
        <w:tc>
          <w:tcPr>
            <w:tcW w:w="3618" w:type="dxa"/>
          </w:tcPr>
          <w:p w:rsidR="009F5B07" w:rsidRPr="009F5B07" w:rsidRDefault="00D21607" w:rsidP="009F5B07">
            <w:r>
              <w:lastRenderedPageBreak/>
              <w:t>RFP for prevention and detection of tax fraud and increase in delinquent tax collections.  Vendor must be paid from savings attributable to work done.  Must select vendor by September 1.</w:t>
            </w:r>
          </w:p>
        </w:tc>
        <w:tc>
          <w:tcPr>
            <w:tcW w:w="2610" w:type="dxa"/>
          </w:tcPr>
          <w:p w:rsidR="009F5B07" w:rsidRDefault="00A133B7" w:rsidP="0046618F">
            <w:pPr>
              <w:rPr>
                <w:b/>
              </w:rPr>
            </w:pPr>
            <w:r>
              <w:rPr>
                <w:b/>
              </w:rPr>
              <w:t>R63</w:t>
            </w:r>
            <w:r w:rsidR="00461833">
              <w:rPr>
                <w:b/>
              </w:rPr>
              <w:t>-64</w:t>
            </w:r>
            <w:r>
              <w:rPr>
                <w:b/>
              </w:rPr>
              <w:t>: Revenue RFP’s</w:t>
            </w:r>
          </w:p>
          <w:p w:rsidR="00D21607" w:rsidRDefault="00D21607" w:rsidP="0046618F">
            <w:pPr>
              <w:rPr>
                <w:b/>
              </w:rPr>
            </w:pPr>
          </w:p>
          <w:p w:rsidR="00D21607" w:rsidRPr="0056721D" w:rsidRDefault="00D21607" w:rsidP="0046618F">
            <w:pPr>
              <w:rPr>
                <w:b/>
              </w:rPr>
            </w:pPr>
            <w:r>
              <w:rPr>
                <w:b/>
              </w:rPr>
              <w:t>(Similar topic, but different approaches)</w:t>
            </w:r>
          </w:p>
        </w:tc>
        <w:tc>
          <w:tcPr>
            <w:tcW w:w="3348" w:type="dxa"/>
          </w:tcPr>
          <w:p w:rsidR="009F5B07" w:rsidRDefault="00D05C1A" w:rsidP="00676307">
            <w:r>
              <w:t xml:space="preserve">RFP for tax analytics and business intelligence tools to enhance tax collections.   May incorporate vendor financing, but may not make vendor compensation contingent on the amount collected.  </w:t>
            </w:r>
            <w:r w:rsidR="00CC0D65">
              <w:t>Appropriates $34.8 million</w:t>
            </w:r>
            <w:r w:rsidR="00676307">
              <w:t>.</w:t>
            </w:r>
            <w:r w:rsidR="003C39AF">
              <w:t xml:space="preserve">  Requires reductions in executive agency operating budgets to make up for any deficiency in anticipated new revenue.</w:t>
            </w:r>
          </w:p>
        </w:tc>
      </w:tr>
    </w:tbl>
    <w:p w:rsidR="001625DC" w:rsidRDefault="001625DC" w:rsidP="00EF43DC"/>
    <w:sectPr w:rsidR="001625DC" w:rsidSect="009F32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compat>
    <w:doNotUseHTMLParagraphAutoSpacing/>
  </w:compat>
  <w:rsids>
    <w:rsidRoot w:val="00262C95"/>
    <w:rsid w:val="0001346B"/>
    <w:rsid w:val="0002047F"/>
    <w:rsid w:val="00040BDC"/>
    <w:rsid w:val="00060716"/>
    <w:rsid w:val="00066D1C"/>
    <w:rsid w:val="00074301"/>
    <w:rsid w:val="00076A8B"/>
    <w:rsid w:val="00090B0B"/>
    <w:rsid w:val="00091510"/>
    <w:rsid w:val="000E074A"/>
    <w:rsid w:val="000F14D5"/>
    <w:rsid w:val="00112CE0"/>
    <w:rsid w:val="00135F6C"/>
    <w:rsid w:val="00147E7F"/>
    <w:rsid w:val="00154608"/>
    <w:rsid w:val="001607BE"/>
    <w:rsid w:val="001625DC"/>
    <w:rsid w:val="001933C0"/>
    <w:rsid w:val="001958B7"/>
    <w:rsid w:val="001B303F"/>
    <w:rsid w:val="001B4110"/>
    <w:rsid w:val="001B4211"/>
    <w:rsid w:val="001C22E7"/>
    <w:rsid w:val="001C72E0"/>
    <w:rsid w:val="001D4E68"/>
    <w:rsid w:val="00204DE0"/>
    <w:rsid w:val="00220711"/>
    <w:rsid w:val="00222CDC"/>
    <w:rsid w:val="00223986"/>
    <w:rsid w:val="00226644"/>
    <w:rsid w:val="00262C95"/>
    <w:rsid w:val="00263B35"/>
    <w:rsid w:val="002C048E"/>
    <w:rsid w:val="002C486D"/>
    <w:rsid w:val="002D0946"/>
    <w:rsid w:val="002D184C"/>
    <w:rsid w:val="00302437"/>
    <w:rsid w:val="003324E5"/>
    <w:rsid w:val="00340F8D"/>
    <w:rsid w:val="003467E6"/>
    <w:rsid w:val="00367738"/>
    <w:rsid w:val="00373772"/>
    <w:rsid w:val="00373DFC"/>
    <w:rsid w:val="003778C9"/>
    <w:rsid w:val="00382B93"/>
    <w:rsid w:val="003B3214"/>
    <w:rsid w:val="003C39AF"/>
    <w:rsid w:val="003E6693"/>
    <w:rsid w:val="003F1724"/>
    <w:rsid w:val="0040520B"/>
    <w:rsid w:val="00413D8F"/>
    <w:rsid w:val="00416CED"/>
    <w:rsid w:val="00427695"/>
    <w:rsid w:val="00431AF8"/>
    <w:rsid w:val="0043362E"/>
    <w:rsid w:val="004379BC"/>
    <w:rsid w:val="0044467A"/>
    <w:rsid w:val="004467E0"/>
    <w:rsid w:val="00453172"/>
    <w:rsid w:val="00461833"/>
    <w:rsid w:val="004638BF"/>
    <w:rsid w:val="00465581"/>
    <w:rsid w:val="0046618F"/>
    <w:rsid w:val="004923D0"/>
    <w:rsid w:val="004B4131"/>
    <w:rsid w:val="004E085A"/>
    <w:rsid w:val="004E4617"/>
    <w:rsid w:val="004F1E38"/>
    <w:rsid w:val="004F5222"/>
    <w:rsid w:val="005009A1"/>
    <w:rsid w:val="00507FF3"/>
    <w:rsid w:val="00510C1A"/>
    <w:rsid w:val="0053501B"/>
    <w:rsid w:val="005374EF"/>
    <w:rsid w:val="0055571B"/>
    <w:rsid w:val="0056721D"/>
    <w:rsid w:val="00571747"/>
    <w:rsid w:val="005931A8"/>
    <w:rsid w:val="005D3CC9"/>
    <w:rsid w:val="005D6E8A"/>
    <w:rsid w:val="005E4D0C"/>
    <w:rsid w:val="005F55F9"/>
    <w:rsid w:val="00605A97"/>
    <w:rsid w:val="00605BC3"/>
    <w:rsid w:val="0061306E"/>
    <w:rsid w:val="00626DD2"/>
    <w:rsid w:val="006367D9"/>
    <w:rsid w:val="00637D49"/>
    <w:rsid w:val="00650262"/>
    <w:rsid w:val="00650539"/>
    <w:rsid w:val="00655FE0"/>
    <w:rsid w:val="0067429D"/>
    <w:rsid w:val="00676307"/>
    <w:rsid w:val="00680F21"/>
    <w:rsid w:val="00691D8B"/>
    <w:rsid w:val="006931C8"/>
    <w:rsid w:val="00696301"/>
    <w:rsid w:val="006A1F93"/>
    <w:rsid w:val="006B6514"/>
    <w:rsid w:val="006C2743"/>
    <w:rsid w:val="006E3517"/>
    <w:rsid w:val="006E4A37"/>
    <w:rsid w:val="007109E2"/>
    <w:rsid w:val="0071723F"/>
    <w:rsid w:val="007375C8"/>
    <w:rsid w:val="0075457C"/>
    <w:rsid w:val="00766C06"/>
    <w:rsid w:val="00770ECC"/>
    <w:rsid w:val="00783650"/>
    <w:rsid w:val="007836EF"/>
    <w:rsid w:val="00787E77"/>
    <w:rsid w:val="00795FB7"/>
    <w:rsid w:val="007A1621"/>
    <w:rsid w:val="007B4EC6"/>
    <w:rsid w:val="007C738B"/>
    <w:rsid w:val="007E120B"/>
    <w:rsid w:val="007E4119"/>
    <w:rsid w:val="007F16AB"/>
    <w:rsid w:val="00804FFF"/>
    <w:rsid w:val="00827C84"/>
    <w:rsid w:val="00831AE1"/>
    <w:rsid w:val="0084379E"/>
    <w:rsid w:val="00860151"/>
    <w:rsid w:val="00874910"/>
    <w:rsid w:val="0088440A"/>
    <w:rsid w:val="00887F76"/>
    <w:rsid w:val="008C3F59"/>
    <w:rsid w:val="0090450B"/>
    <w:rsid w:val="00912A44"/>
    <w:rsid w:val="00920CA2"/>
    <w:rsid w:val="00921212"/>
    <w:rsid w:val="009267BD"/>
    <w:rsid w:val="00943BAE"/>
    <w:rsid w:val="00950FE9"/>
    <w:rsid w:val="0095325A"/>
    <w:rsid w:val="00965FAB"/>
    <w:rsid w:val="009E44AA"/>
    <w:rsid w:val="009E50C2"/>
    <w:rsid w:val="009F323F"/>
    <w:rsid w:val="009F5B07"/>
    <w:rsid w:val="00A111E3"/>
    <w:rsid w:val="00A133B7"/>
    <w:rsid w:val="00A41E17"/>
    <w:rsid w:val="00A56263"/>
    <w:rsid w:val="00A63A6F"/>
    <w:rsid w:val="00A67E95"/>
    <w:rsid w:val="00A95C5D"/>
    <w:rsid w:val="00AB10A3"/>
    <w:rsid w:val="00AE7139"/>
    <w:rsid w:val="00AE7B2B"/>
    <w:rsid w:val="00AF440C"/>
    <w:rsid w:val="00B06FFA"/>
    <w:rsid w:val="00B40B2D"/>
    <w:rsid w:val="00B41DC5"/>
    <w:rsid w:val="00B43AAB"/>
    <w:rsid w:val="00B44DA3"/>
    <w:rsid w:val="00B65751"/>
    <w:rsid w:val="00B67CE6"/>
    <w:rsid w:val="00B739D2"/>
    <w:rsid w:val="00B84BC9"/>
    <w:rsid w:val="00B93844"/>
    <w:rsid w:val="00BC38D6"/>
    <w:rsid w:val="00BD0ED0"/>
    <w:rsid w:val="00C1737E"/>
    <w:rsid w:val="00C23F31"/>
    <w:rsid w:val="00C305F1"/>
    <w:rsid w:val="00C43574"/>
    <w:rsid w:val="00C7391A"/>
    <w:rsid w:val="00C85218"/>
    <w:rsid w:val="00C94273"/>
    <w:rsid w:val="00CA3F18"/>
    <w:rsid w:val="00CC0BF5"/>
    <w:rsid w:val="00CC0D65"/>
    <w:rsid w:val="00CC21C5"/>
    <w:rsid w:val="00CD6093"/>
    <w:rsid w:val="00CD6E47"/>
    <w:rsid w:val="00CE1714"/>
    <w:rsid w:val="00CE53E7"/>
    <w:rsid w:val="00CF1D84"/>
    <w:rsid w:val="00CF3945"/>
    <w:rsid w:val="00D0088B"/>
    <w:rsid w:val="00D05C1A"/>
    <w:rsid w:val="00D2127E"/>
    <w:rsid w:val="00D21607"/>
    <w:rsid w:val="00D421EA"/>
    <w:rsid w:val="00D56094"/>
    <w:rsid w:val="00D664A8"/>
    <w:rsid w:val="00DB2F7E"/>
    <w:rsid w:val="00DC0E47"/>
    <w:rsid w:val="00DD51FB"/>
    <w:rsid w:val="00E10C78"/>
    <w:rsid w:val="00E128AC"/>
    <w:rsid w:val="00E20D68"/>
    <w:rsid w:val="00E30006"/>
    <w:rsid w:val="00E64839"/>
    <w:rsid w:val="00E80669"/>
    <w:rsid w:val="00EA6B8F"/>
    <w:rsid w:val="00EB00FD"/>
    <w:rsid w:val="00ED3D42"/>
    <w:rsid w:val="00EE71DA"/>
    <w:rsid w:val="00EF43DC"/>
    <w:rsid w:val="00EF5B38"/>
    <w:rsid w:val="00F04E7C"/>
    <w:rsid w:val="00F17CA8"/>
    <w:rsid w:val="00F417BC"/>
    <w:rsid w:val="00F43D87"/>
    <w:rsid w:val="00F5202C"/>
    <w:rsid w:val="00F83221"/>
    <w:rsid w:val="00F87309"/>
    <w:rsid w:val="00FA321B"/>
    <w:rsid w:val="00FA777B"/>
    <w:rsid w:val="00FB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9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2FF9A77-E7CB-4E9F-BDAD-42197589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3</cp:revision>
  <cp:lastPrinted>2011-05-02T19:18:00Z</cp:lastPrinted>
  <dcterms:created xsi:type="dcterms:W3CDTF">2011-05-02T19:12:00Z</dcterms:created>
  <dcterms:modified xsi:type="dcterms:W3CDTF">2011-05-02T19:18:00Z</dcterms:modified>
</cp:coreProperties>
</file>