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1804F" w14:textId="62AE2EE2" w:rsidR="00240025" w:rsidRPr="008451FD" w:rsidRDefault="00530E0E" w:rsidP="00240025">
      <w:pPr>
        <w:rPr>
          <w:rFonts w:cstheme="minorHAnsi"/>
          <w:color w:val="000000"/>
          <w:sz w:val="22"/>
          <w:szCs w:val="22"/>
          <w:shd w:val="clear" w:color="auto" w:fill="FFFFFF"/>
        </w:rPr>
      </w:pPr>
      <w:r>
        <w:rPr>
          <w:noProof/>
        </w:rPr>
        <w:drawing>
          <wp:inline distT="0" distB="0" distL="0" distR="0" wp14:anchorId="6852B872" wp14:editId="735FDCED">
            <wp:extent cx="1109889" cy="571500"/>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7502" cy="606315"/>
                    </a:xfrm>
                    <a:prstGeom prst="rect">
                      <a:avLst/>
                    </a:prstGeom>
                    <a:noFill/>
                    <a:ln>
                      <a:noFill/>
                    </a:ln>
                  </pic:spPr>
                </pic:pic>
              </a:graphicData>
            </a:graphic>
          </wp:inline>
        </w:drawing>
      </w:r>
      <w:r>
        <w:rPr>
          <w:rFonts w:cstheme="minorHAnsi"/>
          <w:color w:val="000000"/>
          <w:sz w:val="22"/>
          <w:szCs w:val="22"/>
          <w:shd w:val="clear" w:color="auto" w:fill="FFFFFF"/>
        </w:rPr>
        <w:t xml:space="preserve">                                                                                       </w:t>
      </w:r>
      <w:r w:rsidR="00240025" w:rsidRPr="008451FD">
        <w:rPr>
          <w:rFonts w:cstheme="minorHAnsi"/>
          <w:color w:val="000000"/>
          <w:sz w:val="22"/>
          <w:szCs w:val="22"/>
          <w:shd w:val="clear" w:color="auto" w:fill="FFFFFF"/>
        </w:rPr>
        <w:t>Monday, March 20, 2023</w:t>
      </w:r>
    </w:p>
    <w:p w14:paraId="2B2441A0" w14:textId="77777777" w:rsidR="00240025" w:rsidRPr="008451FD" w:rsidRDefault="00240025" w:rsidP="00240025">
      <w:pPr>
        <w:rPr>
          <w:rFonts w:cstheme="minorHAnsi"/>
          <w:color w:val="000000"/>
          <w:sz w:val="22"/>
          <w:szCs w:val="22"/>
          <w:shd w:val="clear" w:color="auto" w:fill="FFFFFF"/>
        </w:rPr>
      </w:pPr>
    </w:p>
    <w:p w14:paraId="28F65252" w14:textId="77777777" w:rsidR="00240025" w:rsidRPr="008451FD" w:rsidRDefault="00240025" w:rsidP="00240025">
      <w:pPr>
        <w:rPr>
          <w:rFonts w:cstheme="minorHAnsi"/>
          <w:color w:val="000000"/>
          <w:sz w:val="22"/>
          <w:szCs w:val="22"/>
          <w:shd w:val="clear" w:color="auto" w:fill="FFFFFF"/>
        </w:rPr>
      </w:pPr>
      <w:r w:rsidRPr="008451FD">
        <w:rPr>
          <w:rFonts w:cstheme="minorHAnsi"/>
          <w:color w:val="000000"/>
          <w:sz w:val="22"/>
          <w:szCs w:val="22"/>
          <w:shd w:val="clear" w:color="auto" w:fill="FFFFFF"/>
        </w:rPr>
        <w:t>To: Minnesota Representative Tina Liebling, Health Finance Policy Chair</w:t>
      </w:r>
    </w:p>
    <w:p w14:paraId="0CC0DA4D" w14:textId="0EC12715" w:rsidR="00240025" w:rsidRPr="008451FD" w:rsidRDefault="00240025" w:rsidP="00240025">
      <w:pPr>
        <w:rPr>
          <w:rFonts w:cstheme="minorHAnsi"/>
          <w:color w:val="000000"/>
          <w:sz w:val="22"/>
          <w:szCs w:val="22"/>
          <w:shd w:val="clear" w:color="auto" w:fill="FFFFFF"/>
        </w:rPr>
      </w:pPr>
      <w:r w:rsidRPr="008451FD">
        <w:rPr>
          <w:rFonts w:cstheme="minorHAnsi"/>
          <w:color w:val="000000"/>
          <w:sz w:val="22"/>
          <w:szCs w:val="22"/>
          <w:shd w:val="clear" w:color="auto" w:fill="FFFFFF"/>
        </w:rPr>
        <w:t xml:space="preserve">      Minnesota Representative Robert Bierman, Health Finance Policy Vice Chair</w:t>
      </w:r>
    </w:p>
    <w:p w14:paraId="5D836C86" w14:textId="77777777" w:rsidR="00240025" w:rsidRPr="008451FD" w:rsidRDefault="00240025" w:rsidP="00240025">
      <w:pPr>
        <w:rPr>
          <w:rFonts w:cstheme="minorHAnsi"/>
          <w:color w:val="000000"/>
          <w:sz w:val="22"/>
          <w:szCs w:val="22"/>
          <w:shd w:val="clear" w:color="auto" w:fill="FFFFFF"/>
        </w:rPr>
      </w:pPr>
      <w:r w:rsidRPr="008451FD">
        <w:rPr>
          <w:rFonts w:cstheme="minorHAnsi"/>
          <w:sz w:val="22"/>
          <w:szCs w:val="22"/>
        </w:rPr>
        <w:t xml:space="preserve">        House Health Finance and Policy Committee</w:t>
      </w:r>
    </w:p>
    <w:p w14:paraId="6461D36E" w14:textId="77777777" w:rsidR="00240025" w:rsidRPr="008451FD" w:rsidRDefault="00240025" w:rsidP="00240025">
      <w:pPr>
        <w:rPr>
          <w:rFonts w:cstheme="minorHAnsi"/>
          <w:color w:val="000000"/>
          <w:sz w:val="22"/>
          <w:szCs w:val="22"/>
          <w:shd w:val="clear" w:color="auto" w:fill="FFFFFF"/>
        </w:rPr>
      </w:pPr>
    </w:p>
    <w:p w14:paraId="17F908F1" w14:textId="2304F785" w:rsidR="00240025" w:rsidRPr="008451FD" w:rsidRDefault="00240025" w:rsidP="00240025">
      <w:pPr>
        <w:rPr>
          <w:rFonts w:cstheme="minorHAnsi"/>
          <w:color w:val="000000"/>
          <w:sz w:val="22"/>
          <w:szCs w:val="22"/>
          <w:shd w:val="clear" w:color="auto" w:fill="FFFFFF"/>
        </w:rPr>
      </w:pPr>
      <w:r w:rsidRPr="008451FD">
        <w:rPr>
          <w:rFonts w:cstheme="minorHAnsi"/>
          <w:color w:val="000000"/>
          <w:sz w:val="22"/>
          <w:szCs w:val="22"/>
          <w:shd w:val="clear" w:color="auto" w:fill="FFFFFF"/>
        </w:rPr>
        <w:t>Re: HF 2930 Article 2, Section 68 ADOLESCENT MENTAL HEALTH PROMOTION</w:t>
      </w:r>
    </w:p>
    <w:p w14:paraId="47D8C132" w14:textId="77777777" w:rsidR="00240025" w:rsidRPr="008451FD" w:rsidRDefault="00240025" w:rsidP="00240025">
      <w:pPr>
        <w:rPr>
          <w:rFonts w:cstheme="minorHAnsi"/>
          <w:sz w:val="22"/>
          <w:szCs w:val="22"/>
        </w:rPr>
      </w:pPr>
    </w:p>
    <w:p w14:paraId="6178651E" w14:textId="77777777" w:rsidR="00240025" w:rsidRPr="008451FD" w:rsidRDefault="00240025" w:rsidP="00240025">
      <w:pPr>
        <w:rPr>
          <w:rFonts w:cstheme="minorHAnsi"/>
          <w:sz w:val="22"/>
          <w:szCs w:val="22"/>
        </w:rPr>
      </w:pPr>
      <w:r w:rsidRPr="008451FD">
        <w:rPr>
          <w:rFonts w:cstheme="minorHAnsi"/>
          <w:sz w:val="22"/>
          <w:szCs w:val="22"/>
        </w:rPr>
        <w:t>Dear Representative Liebling, Representative Bierman, and the House Health Finance and Policy Committee;</w:t>
      </w:r>
    </w:p>
    <w:p w14:paraId="62CC1473" w14:textId="77777777" w:rsidR="00240025" w:rsidRPr="008451FD" w:rsidRDefault="00240025" w:rsidP="00240025">
      <w:pPr>
        <w:rPr>
          <w:rFonts w:cstheme="minorHAnsi"/>
          <w:sz w:val="22"/>
          <w:szCs w:val="22"/>
        </w:rPr>
      </w:pPr>
    </w:p>
    <w:p w14:paraId="4A3976D7" w14:textId="77777777" w:rsidR="00240025" w:rsidRPr="008451FD" w:rsidRDefault="00240025" w:rsidP="00240025">
      <w:pPr>
        <w:rPr>
          <w:rFonts w:eastAsiaTheme="minorEastAsia" w:hAnsi="Calibri"/>
          <w:color w:val="404040" w:themeColor="text1" w:themeTint="BF"/>
          <w:kern w:val="24"/>
          <w:sz w:val="22"/>
          <w:szCs w:val="22"/>
        </w:rPr>
      </w:pPr>
      <w:r w:rsidRPr="008451FD">
        <w:rPr>
          <w:rFonts w:cstheme="minorHAnsi"/>
          <w:sz w:val="22"/>
          <w:szCs w:val="22"/>
        </w:rPr>
        <w:t>I am submitting this letter in support of HF2930, specifically the Adolescent Mental Health Promotion section that will support</w:t>
      </w:r>
      <w:r w:rsidRPr="008451FD">
        <w:rPr>
          <w:rFonts w:cstheme="minorHAnsi"/>
          <w:color w:val="242424"/>
          <w:sz w:val="22"/>
          <w:szCs w:val="22"/>
          <w:bdr w:val="none" w:sz="0" w:space="0" w:color="auto" w:frame="1"/>
        </w:rPr>
        <w:t xml:space="preserve"> communities’ capacity to train and equip young people to address youth trauma and toxic stress. Multiple resources demonstrate that our youth are struggling in school and in their personal relationships. The Center for Disease Control recently reported that </w:t>
      </w:r>
      <w:r w:rsidRPr="008451FD">
        <w:rPr>
          <w:rFonts w:eastAsiaTheme="minorEastAsia" w:hAnsi="Calibri"/>
          <w:color w:val="404040" w:themeColor="text1" w:themeTint="BF"/>
          <w:kern w:val="24"/>
          <w:sz w:val="22"/>
          <w:szCs w:val="22"/>
        </w:rPr>
        <w:t xml:space="preserve">in 2021, almost 60% of female students experienced persistent feelings of sadness or hopelessness during the past year and nearly 25% made a suicide plan, and 42%  of high school students felt so sad or hopeless almost every day for at least two weeks in a row that they stopped doing their usual activities. </w:t>
      </w:r>
      <w:hyperlink r:id="rId5" w:history="1">
        <w:r w:rsidRPr="008451FD">
          <w:rPr>
            <w:rFonts w:eastAsiaTheme="minorEastAsia" w:hAnsi="Calibri"/>
            <w:color w:val="404040" w:themeColor="text1" w:themeTint="BF"/>
            <w:kern w:val="24"/>
            <w:sz w:val="22"/>
            <w:szCs w:val="22"/>
            <w:u w:val="single"/>
          </w:rPr>
          <w:t>YRBSS Data Summary &amp; Trends | DASH | CDC</w:t>
        </w:r>
      </w:hyperlink>
    </w:p>
    <w:p w14:paraId="1990E1A3" w14:textId="77777777" w:rsidR="00240025" w:rsidRPr="008451FD" w:rsidRDefault="00240025" w:rsidP="00240025">
      <w:pPr>
        <w:rPr>
          <w:rFonts w:eastAsiaTheme="minorEastAsia" w:hAnsi="Calibri"/>
          <w:color w:val="404040" w:themeColor="text1" w:themeTint="BF"/>
          <w:kern w:val="24"/>
          <w:sz w:val="22"/>
          <w:szCs w:val="22"/>
        </w:rPr>
      </w:pPr>
    </w:p>
    <w:p w14:paraId="662CE149" w14:textId="77777777" w:rsidR="00240025" w:rsidRPr="008451FD" w:rsidRDefault="00240025" w:rsidP="00240025">
      <w:pPr>
        <w:rPr>
          <w:rFonts w:eastAsiaTheme="minorEastAsia" w:hAnsi="Calibri"/>
          <w:color w:val="404040" w:themeColor="text1" w:themeTint="BF"/>
          <w:kern w:val="24"/>
          <w:sz w:val="22"/>
          <w:szCs w:val="22"/>
        </w:rPr>
      </w:pPr>
      <w:r w:rsidRPr="008451FD">
        <w:rPr>
          <w:rFonts w:eastAsiaTheme="minorEastAsia" w:hAnsi="Calibri"/>
          <w:color w:val="404040" w:themeColor="text1" w:themeTint="BF"/>
          <w:kern w:val="24"/>
          <w:sz w:val="22"/>
          <w:szCs w:val="22"/>
        </w:rPr>
        <w:t xml:space="preserve">Our existing clinical mental health system needs more support and resources, but that is only part of the solution. For many young people, clinical therapeutic interventions are not an option due to historic mistrust of health systems, lack of appropriate insurance, transportation and language barriers and persistent stigma. Developing a robust primary prevention strategy that focuses on the power of youth ambassadors as change agents will foster a peer led movement that builds resilience and healthier young people. </w:t>
      </w:r>
    </w:p>
    <w:p w14:paraId="62CB9AC3" w14:textId="77777777" w:rsidR="00240025" w:rsidRPr="008451FD" w:rsidRDefault="00240025" w:rsidP="00240025">
      <w:pPr>
        <w:rPr>
          <w:rFonts w:eastAsiaTheme="minorEastAsia" w:hAnsi="Calibri"/>
          <w:color w:val="404040" w:themeColor="text1" w:themeTint="BF"/>
          <w:kern w:val="24"/>
          <w:sz w:val="22"/>
          <w:szCs w:val="22"/>
        </w:rPr>
      </w:pPr>
    </w:p>
    <w:p w14:paraId="37FD2499" w14:textId="79259CE2" w:rsidR="00240025" w:rsidRPr="008451FD" w:rsidRDefault="00240025" w:rsidP="00240025">
      <w:pPr>
        <w:rPr>
          <w:rFonts w:eastAsiaTheme="minorEastAsia" w:hAnsi="Calibri"/>
          <w:color w:val="404040" w:themeColor="text1" w:themeTint="BF"/>
          <w:kern w:val="24"/>
          <w:sz w:val="22"/>
          <w:szCs w:val="22"/>
        </w:rPr>
      </w:pPr>
      <w:r w:rsidRPr="008451FD">
        <w:rPr>
          <w:rFonts w:eastAsiaTheme="minorEastAsia" w:hAnsi="Calibri"/>
          <w:color w:val="404040" w:themeColor="text1" w:themeTint="BF"/>
          <w:kern w:val="24"/>
          <w:sz w:val="22"/>
          <w:szCs w:val="22"/>
        </w:rPr>
        <w:t xml:space="preserve">My prior work </w:t>
      </w:r>
      <w:r w:rsidR="00EB6C0D">
        <w:rPr>
          <w:rFonts w:eastAsiaTheme="minorEastAsia" w:hAnsi="Calibri"/>
          <w:color w:val="404040" w:themeColor="text1" w:themeTint="BF"/>
          <w:kern w:val="24"/>
          <w:sz w:val="22"/>
          <w:szCs w:val="22"/>
        </w:rPr>
        <w:t>as an executive with</w:t>
      </w:r>
      <w:r w:rsidRPr="008451FD">
        <w:rPr>
          <w:rFonts w:eastAsiaTheme="minorEastAsia" w:hAnsi="Calibri"/>
          <w:color w:val="404040" w:themeColor="text1" w:themeTint="BF"/>
          <w:kern w:val="24"/>
          <w:sz w:val="22"/>
          <w:szCs w:val="22"/>
        </w:rPr>
        <w:t xml:space="preserve"> a non-profit organization in the American Indian community and leading innovative investment strategies in philanthropy that elevated the power of community led, culturally meaningful healing work has shown that when given the right skills and supports over time, community can create </w:t>
      </w:r>
      <w:r w:rsidR="00EB6C0D">
        <w:rPr>
          <w:rFonts w:eastAsiaTheme="minorEastAsia" w:hAnsi="Calibri"/>
          <w:color w:val="404040" w:themeColor="text1" w:themeTint="BF"/>
          <w:kern w:val="24"/>
          <w:sz w:val="22"/>
          <w:szCs w:val="22"/>
        </w:rPr>
        <w:t xml:space="preserve">social norms of </w:t>
      </w:r>
      <w:r w:rsidRPr="008451FD">
        <w:rPr>
          <w:rFonts w:eastAsiaTheme="minorEastAsia" w:hAnsi="Calibri"/>
          <w:color w:val="404040" w:themeColor="text1" w:themeTint="BF"/>
          <w:kern w:val="24"/>
          <w:sz w:val="22"/>
          <w:szCs w:val="22"/>
        </w:rPr>
        <w:t xml:space="preserve">resilience. I recently completed a </w:t>
      </w:r>
      <w:r w:rsidR="00EB6C0D">
        <w:rPr>
          <w:rFonts w:eastAsiaTheme="minorEastAsia" w:hAnsi="Calibri"/>
          <w:color w:val="404040" w:themeColor="text1" w:themeTint="BF"/>
          <w:kern w:val="24"/>
          <w:sz w:val="22"/>
          <w:szCs w:val="22"/>
        </w:rPr>
        <w:t>six-</w:t>
      </w:r>
      <w:r w:rsidRPr="008451FD">
        <w:rPr>
          <w:rFonts w:eastAsiaTheme="minorEastAsia" w:hAnsi="Calibri"/>
          <w:color w:val="404040" w:themeColor="text1" w:themeTint="BF"/>
          <w:kern w:val="24"/>
          <w:sz w:val="22"/>
          <w:szCs w:val="22"/>
        </w:rPr>
        <w:t>month, statewide landscaping project to identify the components of a community</w:t>
      </w:r>
      <w:r w:rsidR="00EB6C0D">
        <w:rPr>
          <w:rFonts w:eastAsiaTheme="minorEastAsia" w:hAnsi="Calibri"/>
          <w:color w:val="404040" w:themeColor="text1" w:themeTint="BF"/>
          <w:kern w:val="24"/>
          <w:sz w:val="22"/>
          <w:szCs w:val="22"/>
        </w:rPr>
        <w:t>-</w:t>
      </w:r>
      <w:r w:rsidRPr="008451FD">
        <w:rPr>
          <w:rFonts w:eastAsiaTheme="minorEastAsia" w:hAnsi="Calibri"/>
          <w:color w:val="404040" w:themeColor="text1" w:themeTint="BF"/>
          <w:kern w:val="24"/>
          <w:sz w:val="22"/>
          <w:szCs w:val="22"/>
        </w:rPr>
        <w:t>based ecosystem of mental wellbeing. Equipping our youth with culturally and age</w:t>
      </w:r>
      <w:r w:rsidR="008451FD" w:rsidRPr="008451FD">
        <w:rPr>
          <w:rFonts w:eastAsiaTheme="minorEastAsia" w:hAnsi="Calibri"/>
          <w:color w:val="404040" w:themeColor="text1" w:themeTint="BF"/>
          <w:kern w:val="24"/>
          <w:sz w:val="22"/>
          <w:szCs w:val="22"/>
        </w:rPr>
        <w:t>-</w:t>
      </w:r>
      <w:r w:rsidRPr="008451FD">
        <w:rPr>
          <w:rFonts w:eastAsiaTheme="minorEastAsia" w:hAnsi="Calibri"/>
          <w:color w:val="404040" w:themeColor="text1" w:themeTint="BF"/>
          <w:kern w:val="24"/>
          <w:sz w:val="22"/>
          <w:szCs w:val="22"/>
        </w:rPr>
        <w:t xml:space="preserve">appropriate tools to train other young people on managing stress and healing from trauma was repeatedly cited as an urgent need. HF 2930 provides multiple avenues to advance communities capacity to lead on improving mental health and build resilience.  I urge you to support this bill. </w:t>
      </w:r>
    </w:p>
    <w:p w14:paraId="0571E1CB" w14:textId="77777777" w:rsidR="00240025" w:rsidRPr="008451FD" w:rsidRDefault="00240025" w:rsidP="00240025">
      <w:pPr>
        <w:rPr>
          <w:rFonts w:eastAsiaTheme="minorEastAsia" w:hAnsi="Calibri"/>
          <w:color w:val="404040" w:themeColor="text1" w:themeTint="BF"/>
          <w:kern w:val="24"/>
          <w:sz w:val="22"/>
          <w:szCs w:val="22"/>
        </w:rPr>
      </w:pPr>
    </w:p>
    <w:p w14:paraId="7CEFE4E9" w14:textId="77777777" w:rsidR="00240025" w:rsidRPr="008451FD" w:rsidRDefault="00240025" w:rsidP="00240025">
      <w:pPr>
        <w:rPr>
          <w:rFonts w:eastAsiaTheme="minorEastAsia" w:hAnsi="Calibri"/>
          <w:color w:val="404040" w:themeColor="text1" w:themeTint="BF"/>
          <w:kern w:val="24"/>
          <w:sz w:val="22"/>
          <w:szCs w:val="22"/>
        </w:rPr>
      </w:pPr>
      <w:r w:rsidRPr="008451FD">
        <w:rPr>
          <w:rFonts w:eastAsiaTheme="minorEastAsia" w:hAnsi="Calibri"/>
          <w:color w:val="404040" w:themeColor="text1" w:themeTint="BF"/>
          <w:kern w:val="24"/>
          <w:sz w:val="22"/>
          <w:szCs w:val="22"/>
        </w:rPr>
        <w:t>Thank you;</w:t>
      </w:r>
    </w:p>
    <w:p w14:paraId="1A2DB961" w14:textId="77777777" w:rsidR="00240025" w:rsidRPr="008451FD" w:rsidRDefault="00240025" w:rsidP="00240025">
      <w:pPr>
        <w:rPr>
          <w:rFonts w:eastAsiaTheme="minorEastAsia" w:hAnsi="Calibri"/>
          <w:color w:val="404040" w:themeColor="text1" w:themeTint="BF"/>
          <w:kern w:val="24"/>
          <w:sz w:val="22"/>
          <w:szCs w:val="22"/>
        </w:rPr>
      </w:pPr>
      <w:r w:rsidRPr="008451FD">
        <w:rPr>
          <w:rFonts w:eastAsiaTheme="minorEastAsia" w:hAnsi="Calibri"/>
          <w:color w:val="404040" w:themeColor="text1" w:themeTint="BF"/>
          <w:kern w:val="24"/>
          <w:sz w:val="22"/>
          <w:szCs w:val="22"/>
        </w:rPr>
        <w:t>Suzanne Koepplinger</w:t>
      </w:r>
    </w:p>
    <w:p w14:paraId="672D8618" w14:textId="05803A26" w:rsidR="00240025" w:rsidRPr="008451FD" w:rsidRDefault="00240025" w:rsidP="00240025">
      <w:pPr>
        <w:rPr>
          <w:rFonts w:eastAsiaTheme="minorEastAsia" w:hAnsi="Calibri"/>
          <w:color w:val="404040" w:themeColor="text1" w:themeTint="BF"/>
          <w:kern w:val="24"/>
          <w:sz w:val="22"/>
          <w:szCs w:val="22"/>
        </w:rPr>
      </w:pPr>
      <w:r w:rsidRPr="008451FD">
        <w:rPr>
          <w:rFonts w:eastAsiaTheme="minorEastAsia" w:hAnsi="Calibri"/>
          <w:color w:val="404040" w:themeColor="text1" w:themeTint="BF"/>
          <w:kern w:val="24"/>
          <w:sz w:val="22"/>
          <w:szCs w:val="22"/>
        </w:rPr>
        <w:t xml:space="preserve">Catalyst North Consulting </w:t>
      </w:r>
    </w:p>
    <w:p w14:paraId="2CA35981" w14:textId="7DDF55E2" w:rsidR="008451FD" w:rsidRPr="008451FD" w:rsidRDefault="00EB6C0D" w:rsidP="00240025">
      <w:pPr>
        <w:rPr>
          <w:rFonts w:eastAsiaTheme="minorEastAsia" w:hAnsi="Calibri"/>
          <w:color w:val="404040" w:themeColor="text1" w:themeTint="BF"/>
          <w:kern w:val="24"/>
          <w:sz w:val="22"/>
          <w:szCs w:val="22"/>
        </w:rPr>
      </w:pPr>
      <w:hyperlink r:id="rId6" w:history="1">
        <w:r w:rsidR="008451FD" w:rsidRPr="008451FD">
          <w:rPr>
            <w:rStyle w:val="Hyperlink"/>
            <w:rFonts w:eastAsiaTheme="minorEastAsia" w:hAnsi="Calibri"/>
            <w:color w:val="1A89F9" w:themeColor="hyperlink" w:themeTint="BF"/>
            <w:kern w:val="24"/>
            <w:sz w:val="22"/>
            <w:szCs w:val="22"/>
          </w:rPr>
          <w:t>www.catalystnorth.org</w:t>
        </w:r>
      </w:hyperlink>
    </w:p>
    <w:p w14:paraId="6D7E1FA4" w14:textId="4A6711F9" w:rsidR="008451FD" w:rsidRPr="008451FD" w:rsidRDefault="008451FD" w:rsidP="00240025">
      <w:pPr>
        <w:rPr>
          <w:rFonts w:eastAsiaTheme="minorEastAsia" w:hAnsi="Calibri"/>
          <w:color w:val="404040" w:themeColor="text1" w:themeTint="BF"/>
          <w:kern w:val="24"/>
          <w:sz w:val="22"/>
          <w:szCs w:val="22"/>
        </w:rPr>
      </w:pPr>
      <w:r w:rsidRPr="008451FD">
        <w:rPr>
          <w:rFonts w:eastAsiaTheme="minorEastAsia" w:hAnsi="Calibri"/>
          <w:color w:val="404040" w:themeColor="text1" w:themeTint="BF"/>
          <w:kern w:val="24"/>
          <w:sz w:val="22"/>
          <w:szCs w:val="22"/>
        </w:rPr>
        <w:t>3317 21</w:t>
      </w:r>
      <w:r w:rsidRPr="008451FD">
        <w:rPr>
          <w:rFonts w:eastAsiaTheme="minorEastAsia" w:hAnsi="Calibri"/>
          <w:color w:val="404040" w:themeColor="text1" w:themeTint="BF"/>
          <w:kern w:val="24"/>
          <w:sz w:val="22"/>
          <w:szCs w:val="22"/>
          <w:vertAlign w:val="superscript"/>
        </w:rPr>
        <w:t>st</w:t>
      </w:r>
      <w:r w:rsidRPr="008451FD">
        <w:rPr>
          <w:rFonts w:eastAsiaTheme="minorEastAsia" w:hAnsi="Calibri"/>
          <w:color w:val="404040" w:themeColor="text1" w:themeTint="BF"/>
          <w:kern w:val="24"/>
          <w:sz w:val="22"/>
          <w:szCs w:val="22"/>
        </w:rPr>
        <w:t xml:space="preserve"> Ave. South</w:t>
      </w:r>
    </w:p>
    <w:p w14:paraId="6F294F34" w14:textId="464FAF58" w:rsidR="008451FD" w:rsidRPr="008451FD" w:rsidRDefault="008451FD" w:rsidP="00240025">
      <w:pPr>
        <w:rPr>
          <w:rFonts w:eastAsiaTheme="minorEastAsia" w:hAnsi="Calibri"/>
          <w:color w:val="404040" w:themeColor="text1" w:themeTint="BF"/>
          <w:kern w:val="24"/>
          <w:sz w:val="22"/>
          <w:szCs w:val="22"/>
        </w:rPr>
      </w:pPr>
      <w:r w:rsidRPr="008451FD">
        <w:rPr>
          <w:rFonts w:eastAsiaTheme="minorEastAsia" w:hAnsi="Calibri"/>
          <w:color w:val="404040" w:themeColor="text1" w:themeTint="BF"/>
          <w:kern w:val="24"/>
          <w:sz w:val="22"/>
          <w:szCs w:val="22"/>
        </w:rPr>
        <w:t>Minneapolis, MN 55407</w:t>
      </w:r>
    </w:p>
    <w:p w14:paraId="7A069DA1" w14:textId="0F0942BC" w:rsidR="008451FD" w:rsidRDefault="00EB6C0D" w:rsidP="00240025">
      <w:pPr>
        <w:rPr>
          <w:rFonts w:eastAsiaTheme="minorEastAsia" w:hAnsi="Calibri"/>
          <w:color w:val="404040" w:themeColor="text1" w:themeTint="BF"/>
          <w:kern w:val="24"/>
          <w:sz w:val="22"/>
          <w:szCs w:val="22"/>
        </w:rPr>
      </w:pPr>
      <w:hyperlink r:id="rId7" w:history="1">
        <w:r w:rsidR="008451FD" w:rsidRPr="00AD4682">
          <w:rPr>
            <w:rStyle w:val="Hyperlink"/>
            <w:rFonts w:eastAsiaTheme="minorEastAsia" w:hAnsi="Calibri"/>
            <w:color w:val="1A89F9" w:themeColor="hyperlink" w:themeTint="BF"/>
            <w:kern w:val="24"/>
            <w:sz w:val="22"/>
            <w:szCs w:val="22"/>
          </w:rPr>
          <w:t>suzannekoep@gmail.com</w:t>
        </w:r>
      </w:hyperlink>
    </w:p>
    <w:p w14:paraId="4B93B3A5" w14:textId="4838A1DA" w:rsidR="008451FD" w:rsidRPr="008451FD" w:rsidRDefault="008451FD" w:rsidP="00240025">
      <w:pPr>
        <w:rPr>
          <w:rFonts w:eastAsiaTheme="minorEastAsia" w:hAnsi="Calibri"/>
          <w:color w:val="404040" w:themeColor="text1" w:themeTint="BF"/>
          <w:kern w:val="24"/>
          <w:sz w:val="22"/>
          <w:szCs w:val="22"/>
        </w:rPr>
      </w:pPr>
      <w:r>
        <w:rPr>
          <w:rFonts w:eastAsiaTheme="minorEastAsia" w:hAnsi="Calibri"/>
          <w:color w:val="404040" w:themeColor="text1" w:themeTint="BF"/>
          <w:kern w:val="24"/>
          <w:sz w:val="22"/>
          <w:szCs w:val="22"/>
        </w:rPr>
        <w:t>612-499-7279</w:t>
      </w:r>
    </w:p>
    <w:p w14:paraId="031A0137" w14:textId="77777777" w:rsidR="00FB7E44" w:rsidRPr="008451FD" w:rsidRDefault="00FB7E44">
      <w:pPr>
        <w:rPr>
          <w:sz w:val="22"/>
          <w:szCs w:val="22"/>
        </w:rPr>
      </w:pPr>
    </w:p>
    <w:sectPr w:rsidR="00FB7E44" w:rsidRPr="00845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08"/>
    <w:rsid w:val="00100024"/>
    <w:rsid w:val="00240025"/>
    <w:rsid w:val="00477ABF"/>
    <w:rsid w:val="00530E0E"/>
    <w:rsid w:val="005F24D4"/>
    <w:rsid w:val="008451FD"/>
    <w:rsid w:val="00AD7108"/>
    <w:rsid w:val="00EB6C0D"/>
    <w:rsid w:val="00FB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28C6"/>
  <w15:chartTrackingRefBased/>
  <w15:docId w15:val="{181E4F75-61ED-488A-A684-2C0D0478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025"/>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1FD"/>
    <w:rPr>
      <w:color w:val="0563C1" w:themeColor="hyperlink"/>
      <w:u w:val="single"/>
    </w:rPr>
  </w:style>
  <w:style w:type="character" w:styleId="UnresolvedMention">
    <w:name w:val="Unresolved Mention"/>
    <w:basedOn w:val="DefaultParagraphFont"/>
    <w:uiPriority w:val="99"/>
    <w:semiHidden/>
    <w:unhideWhenUsed/>
    <w:rsid w:val="00845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zannekoe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talystnorth.org" TargetMode="External"/><Relationship Id="rId5" Type="http://schemas.openxmlformats.org/officeDocument/2006/relationships/hyperlink" Target="https://www.cdc.gov/healthyyouth/data/yrbs/yrbs_data_summary_and_trends.htm?ACSTrackingID=DM98539&amp;ACSTrackingLabel=Feb+2023+-+YRBS+DSTR+2.0+Release&amp;deliveryName=DM98539&amp;utm_campaign=publications-2023&amp;utm_medium=email&amp;utm_source=govdelivery"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Koepplinger</dc:creator>
  <cp:keywords/>
  <dc:description/>
  <cp:lastModifiedBy>Suzanne Koepplinger</cp:lastModifiedBy>
  <cp:revision>6</cp:revision>
  <dcterms:created xsi:type="dcterms:W3CDTF">2023-03-20T18:52:00Z</dcterms:created>
  <dcterms:modified xsi:type="dcterms:W3CDTF">2023-03-20T20:00:00Z</dcterms:modified>
</cp:coreProperties>
</file>