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1190"/>
        <w:tblW w:w="0" w:type="auto"/>
        <w:tblLook w:val="04A0"/>
      </w:tblPr>
      <w:tblGrid>
        <w:gridCol w:w="901"/>
        <w:gridCol w:w="5970"/>
        <w:gridCol w:w="6305"/>
      </w:tblGrid>
      <w:tr w:rsidR="002C4067" w:rsidTr="00C47EFE">
        <w:tc>
          <w:tcPr>
            <w:tcW w:w="890" w:type="dxa"/>
          </w:tcPr>
          <w:p w:rsidR="002C4067" w:rsidRPr="00C47EFE" w:rsidRDefault="002C4067" w:rsidP="002C4067">
            <w:pPr>
              <w:rPr>
                <w:rFonts w:ascii="Times New Roman" w:hAnsi="Times New Roman" w:cs="Times New Roman"/>
                <w:b/>
              </w:rPr>
            </w:pPr>
            <w:r w:rsidRPr="00C47EFE">
              <w:rPr>
                <w:rFonts w:ascii="Times New Roman" w:hAnsi="Times New Roman" w:cs="Times New Roman"/>
                <w:b/>
              </w:rPr>
              <w:t xml:space="preserve">Section </w:t>
            </w:r>
          </w:p>
        </w:tc>
        <w:tc>
          <w:tcPr>
            <w:tcW w:w="5975" w:type="dxa"/>
          </w:tcPr>
          <w:p w:rsidR="002C4067" w:rsidRPr="00C47EFE" w:rsidRDefault="002C4067" w:rsidP="002C4067">
            <w:pPr>
              <w:rPr>
                <w:rFonts w:ascii="Times New Roman" w:hAnsi="Times New Roman" w:cs="Times New Roman"/>
                <w:b/>
              </w:rPr>
            </w:pPr>
            <w:r w:rsidRPr="00C47EFE">
              <w:rPr>
                <w:rFonts w:ascii="Times New Roman" w:hAnsi="Times New Roman" w:cs="Times New Roman"/>
                <w:b/>
              </w:rPr>
              <w:t>S.F. 2466, Second Engrossment</w:t>
            </w:r>
          </w:p>
        </w:tc>
        <w:tc>
          <w:tcPr>
            <w:tcW w:w="6311" w:type="dxa"/>
          </w:tcPr>
          <w:p w:rsidR="002C4067" w:rsidRPr="00C47EFE" w:rsidRDefault="002C4067" w:rsidP="002C4067">
            <w:pPr>
              <w:rPr>
                <w:rFonts w:ascii="Times New Roman" w:hAnsi="Times New Roman" w:cs="Times New Roman"/>
                <w:b/>
              </w:rPr>
            </w:pPr>
            <w:r w:rsidRPr="00C47EFE">
              <w:rPr>
                <w:rFonts w:ascii="Times New Roman" w:hAnsi="Times New Roman" w:cs="Times New Roman"/>
                <w:b/>
              </w:rPr>
              <w:t>S.F. 2466, First Unofficial Engrossment</w:t>
            </w:r>
          </w:p>
        </w:tc>
      </w:tr>
      <w:tr w:rsidR="002C4067" w:rsidTr="00C47EFE">
        <w:tc>
          <w:tcPr>
            <w:tcW w:w="890" w:type="dxa"/>
          </w:tcPr>
          <w:p w:rsidR="002C4067" w:rsidRPr="00C47EFE" w:rsidRDefault="002C4067" w:rsidP="002C4067">
            <w:pPr>
              <w:jc w:val="center"/>
              <w:rPr>
                <w:rFonts w:ascii="Times New Roman" w:hAnsi="Times New Roman" w:cs="Times New Roman"/>
              </w:rPr>
            </w:pPr>
            <w:r w:rsidRPr="00C47EFE">
              <w:rPr>
                <w:rFonts w:ascii="Times New Roman" w:hAnsi="Times New Roman" w:cs="Times New Roman"/>
              </w:rPr>
              <w:t>1</w:t>
            </w:r>
          </w:p>
        </w:tc>
        <w:tc>
          <w:tcPr>
            <w:tcW w:w="5975" w:type="dxa"/>
          </w:tcPr>
          <w:p w:rsidR="002C4067" w:rsidRPr="00B97A8F" w:rsidRDefault="002C4067" w:rsidP="002C4067">
            <w:pPr>
              <w:rPr>
                <w:rFonts w:ascii="Times New Roman" w:hAnsi="Times New Roman" w:cs="Times New Roman"/>
              </w:rPr>
            </w:pPr>
            <w:r w:rsidRPr="00B97A8F">
              <w:rPr>
                <w:rFonts w:ascii="Times New Roman" w:hAnsi="Times New Roman" w:cs="Times New Roman"/>
              </w:rPr>
              <w:t>Amends a provision in Minnesota Statutes, chapter 626A (Privacy of Communications; Wire, Electronic, and Oral Interception) addressing access to records of providers of electronic communication services or remote computing services. Specifies that these providers may not disclose location information covered by section 2 to a government entity, except as provided in section 2.</w:t>
            </w:r>
          </w:p>
        </w:tc>
        <w:tc>
          <w:tcPr>
            <w:tcW w:w="6311" w:type="dxa"/>
          </w:tcPr>
          <w:p w:rsidR="008D51BA" w:rsidRPr="00B97A8F" w:rsidRDefault="008D51BA" w:rsidP="008D51BA">
            <w:pPr>
              <w:rPr>
                <w:rFonts w:ascii="Times New Roman" w:hAnsi="Times New Roman" w:cs="Times New Roman"/>
              </w:rPr>
            </w:pPr>
            <w:r w:rsidRPr="00B97A8F">
              <w:rPr>
                <w:rFonts w:ascii="Times New Roman" w:hAnsi="Times New Roman" w:cs="Times New Roman"/>
                <w:b/>
              </w:rPr>
              <w:t>Similar.</w:t>
            </w:r>
            <w:r w:rsidRPr="00B97A8F">
              <w:rPr>
                <w:rFonts w:ascii="Times New Roman" w:hAnsi="Times New Roman" w:cs="Times New Roman"/>
              </w:rPr>
              <w:t xml:space="preserve"> The Senate and House language is intended to accomplish the same purpose. The Senate language is placed in a separate paragraph </w:t>
            </w:r>
            <w:r w:rsidR="005F003F">
              <w:rPr>
                <w:rFonts w:ascii="Times New Roman" w:hAnsi="Times New Roman" w:cs="Times New Roman"/>
              </w:rPr>
              <w:t xml:space="preserve">while the House </w:t>
            </w:r>
            <w:r w:rsidRPr="00B97A8F">
              <w:rPr>
                <w:rFonts w:ascii="Times New Roman" w:hAnsi="Times New Roman" w:cs="Times New Roman"/>
              </w:rPr>
              <w:t>references section 2 in an existing paragraph of law.</w:t>
            </w:r>
          </w:p>
          <w:p w:rsidR="002C4067" w:rsidRPr="00B97A8F" w:rsidRDefault="002C4067" w:rsidP="002C4067">
            <w:pPr>
              <w:rPr>
                <w:rFonts w:ascii="Times New Roman" w:hAnsi="Times New Roman" w:cs="Times New Roman"/>
              </w:rPr>
            </w:pPr>
          </w:p>
        </w:tc>
      </w:tr>
      <w:tr w:rsidR="002C4067" w:rsidTr="00C47EFE">
        <w:tc>
          <w:tcPr>
            <w:tcW w:w="890" w:type="dxa"/>
          </w:tcPr>
          <w:p w:rsidR="002C4067" w:rsidRDefault="002C4067" w:rsidP="002C4067">
            <w:pPr>
              <w:jc w:val="center"/>
              <w:rPr>
                <w:rFonts w:ascii="Times New Roman" w:hAnsi="Times New Roman" w:cs="Times New Roman"/>
              </w:rPr>
            </w:pPr>
            <w:r w:rsidRPr="00C47EFE">
              <w:rPr>
                <w:rFonts w:ascii="Times New Roman" w:hAnsi="Times New Roman" w:cs="Times New Roman"/>
              </w:rPr>
              <w:t>2</w:t>
            </w: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C4067">
            <w:pPr>
              <w:jc w:val="center"/>
              <w:rPr>
                <w:rFonts w:ascii="Times New Roman" w:hAnsi="Times New Roman" w:cs="Times New Roman"/>
              </w:rPr>
            </w:pPr>
          </w:p>
          <w:p w:rsidR="00254818" w:rsidRDefault="00254818" w:rsidP="00254818">
            <w:pPr>
              <w:jc w:val="center"/>
              <w:rPr>
                <w:rFonts w:ascii="Times New Roman" w:hAnsi="Times New Roman" w:cs="Times New Roman"/>
              </w:rPr>
            </w:pPr>
            <w:r>
              <w:rPr>
                <w:rFonts w:ascii="Times New Roman" w:hAnsi="Times New Roman" w:cs="Times New Roman"/>
              </w:rPr>
              <w:lastRenderedPageBreak/>
              <w:t>2</w:t>
            </w: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Default="00254818" w:rsidP="00254818">
            <w:pPr>
              <w:jc w:val="center"/>
              <w:rPr>
                <w:rFonts w:ascii="Times New Roman" w:hAnsi="Times New Roman" w:cs="Times New Roman"/>
              </w:rPr>
            </w:pPr>
          </w:p>
          <w:p w:rsidR="00254818" w:rsidRPr="00C47EFE" w:rsidRDefault="00254818" w:rsidP="00254818">
            <w:pPr>
              <w:jc w:val="center"/>
              <w:rPr>
                <w:rFonts w:ascii="Times New Roman" w:hAnsi="Times New Roman" w:cs="Times New Roman"/>
              </w:rPr>
            </w:pPr>
            <w:r>
              <w:rPr>
                <w:rFonts w:ascii="Times New Roman" w:hAnsi="Times New Roman" w:cs="Times New Roman"/>
              </w:rPr>
              <w:lastRenderedPageBreak/>
              <w:t>2</w:t>
            </w:r>
          </w:p>
        </w:tc>
        <w:tc>
          <w:tcPr>
            <w:tcW w:w="5975" w:type="dxa"/>
          </w:tcPr>
          <w:p w:rsidR="002C4067" w:rsidRPr="00B97A8F" w:rsidRDefault="002C4067" w:rsidP="002C4067">
            <w:pPr>
              <w:rPr>
                <w:rFonts w:ascii="Times New Roman" w:hAnsi="Times New Roman" w:cs="Times New Roman"/>
              </w:rPr>
            </w:pPr>
            <w:r w:rsidRPr="00B97A8F">
              <w:rPr>
                <w:rFonts w:ascii="Times New Roman" w:hAnsi="Times New Roman" w:cs="Times New Roman"/>
                <w:b/>
              </w:rPr>
              <w:lastRenderedPageBreak/>
              <w:t xml:space="preserve">Subdivision 1 </w:t>
            </w:r>
            <w:r w:rsidRPr="00B97A8F">
              <w:rPr>
                <w:rFonts w:ascii="Times New Roman" w:hAnsi="Times New Roman" w:cs="Times New Roman"/>
              </w:rPr>
              <w:t>defines “adverse result”, “electronic communication service”, “electronic device”, “government entity”,  “location information”, “location information service”,  “remote computing service”, and "tracking warrant".</w:t>
            </w:r>
          </w:p>
          <w:p w:rsidR="00B97A8F" w:rsidRPr="00B97A8F" w:rsidRDefault="00B97A8F" w:rsidP="002C4067">
            <w:pPr>
              <w:rPr>
                <w:rFonts w:ascii="Times New Roman" w:hAnsi="Times New Roman" w:cs="Times New Roman"/>
              </w:rPr>
            </w:pPr>
          </w:p>
          <w:p w:rsidR="002C4067" w:rsidRPr="00B97A8F" w:rsidRDefault="002C4067" w:rsidP="002C4067">
            <w:pPr>
              <w:rPr>
                <w:rFonts w:ascii="Times New Roman" w:hAnsi="Times New Roman" w:cs="Times New Roman"/>
              </w:rPr>
            </w:pPr>
            <w:r w:rsidRPr="00B97A8F">
              <w:rPr>
                <w:rStyle w:val="Strong"/>
                <w:rFonts w:ascii="Times New Roman" w:hAnsi="Times New Roman" w:cs="Times New Roman"/>
              </w:rPr>
              <w:t>Subdivision 2</w:t>
            </w:r>
            <w:r w:rsidRPr="00B97A8F">
              <w:rPr>
                <w:rFonts w:ascii="Times New Roman" w:hAnsi="Times New Roman" w:cs="Times New Roman"/>
              </w:rPr>
              <w:t xml:space="preserve"> requires a government entity to secure a tracking warrant before collecting electronic device location information. A warrant is to be issued only if the entity shows there is probable cause that the person who possesses the device is committing, has committed, or is about to commit a criminal offense. Provides exceptions to the tracking warrant requirement in cases where there is consent, an emergency, a stolen device, or a missing person.</w:t>
            </w:r>
          </w:p>
          <w:p w:rsidR="008D51BA" w:rsidRPr="00B97A8F" w:rsidRDefault="008D51BA" w:rsidP="002C4067">
            <w:pPr>
              <w:rPr>
                <w:rFonts w:ascii="Times New Roman" w:hAnsi="Times New Roman" w:cs="Times New Roman"/>
              </w:rPr>
            </w:pPr>
          </w:p>
          <w:p w:rsidR="002C4067" w:rsidRPr="00B97A8F" w:rsidRDefault="002C4067" w:rsidP="002C4067">
            <w:pPr>
              <w:rPr>
                <w:rFonts w:ascii="Times New Roman" w:hAnsi="Times New Roman" w:cs="Times New Roman"/>
              </w:rPr>
            </w:pPr>
          </w:p>
          <w:p w:rsidR="00B97A8F" w:rsidRPr="00B97A8F" w:rsidRDefault="00B97A8F" w:rsidP="002C4067">
            <w:pPr>
              <w:rPr>
                <w:rStyle w:val="Strong"/>
                <w:rFonts w:ascii="Times New Roman" w:hAnsi="Times New Roman" w:cs="Times New Roman"/>
              </w:rPr>
            </w:pPr>
          </w:p>
          <w:p w:rsidR="00C47EFE" w:rsidRDefault="00C47EFE" w:rsidP="002C4067">
            <w:pPr>
              <w:rPr>
                <w:rStyle w:val="Strong"/>
                <w:rFonts w:ascii="Times New Roman" w:hAnsi="Times New Roman" w:cs="Times New Roman"/>
              </w:rPr>
            </w:pPr>
          </w:p>
          <w:p w:rsidR="002C4067" w:rsidRPr="00B97A8F" w:rsidRDefault="002C4067" w:rsidP="002C4067">
            <w:pPr>
              <w:rPr>
                <w:rFonts w:ascii="Times New Roman" w:hAnsi="Times New Roman" w:cs="Times New Roman"/>
              </w:rPr>
            </w:pPr>
            <w:r w:rsidRPr="00B97A8F">
              <w:rPr>
                <w:rStyle w:val="Strong"/>
                <w:rFonts w:ascii="Times New Roman" w:hAnsi="Times New Roman" w:cs="Times New Roman"/>
              </w:rPr>
              <w:t>Subdivision 3</w:t>
            </w:r>
            <w:r w:rsidRPr="00B97A8F">
              <w:rPr>
                <w:rFonts w:ascii="Times New Roman" w:hAnsi="Times New Roman" w:cs="Times New Roman"/>
              </w:rPr>
              <w:t xml:space="preserve"> establishes a 60-day maximum effective period for tracking warrants issued under this section and allows for extensions under certain circumstances. These limitations apply to tracking warrants for the contemporaneous collection of electronic device location information.</w:t>
            </w:r>
          </w:p>
          <w:p w:rsidR="008D51BA" w:rsidRPr="00B97A8F" w:rsidRDefault="008D51BA" w:rsidP="002C4067">
            <w:pPr>
              <w:rPr>
                <w:rFonts w:ascii="Times New Roman" w:hAnsi="Times New Roman" w:cs="Times New Roman"/>
              </w:rPr>
            </w:pPr>
          </w:p>
          <w:p w:rsidR="002C4067" w:rsidRPr="00B97A8F" w:rsidRDefault="002C4067" w:rsidP="002C4067">
            <w:pPr>
              <w:rPr>
                <w:rFonts w:ascii="Times New Roman" w:hAnsi="Times New Roman" w:cs="Times New Roman"/>
              </w:rPr>
            </w:pPr>
          </w:p>
          <w:p w:rsidR="00850E15" w:rsidRDefault="00850E15" w:rsidP="002C4067">
            <w:pPr>
              <w:rPr>
                <w:rStyle w:val="Strong"/>
                <w:rFonts w:ascii="Times New Roman" w:hAnsi="Times New Roman" w:cs="Times New Roman"/>
              </w:rPr>
            </w:pPr>
          </w:p>
          <w:p w:rsidR="00B97A8F" w:rsidRDefault="00B97A8F" w:rsidP="002C4067">
            <w:pPr>
              <w:rPr>
                <w:rStyle w:val="Strong"/>
                <w:rFonts w:ascii="Times New Roman" w:hAnsi="Times New Roman" w:cs="Times New Roman"/>
              </w:rPr>
            </w:pPr>
          </w:p>
          <w:p w:rsidR="00B97A8F" w:rsidRPr="00B97A8F" w:rsidRDefault="00B97A8F" w:rsidP="002C4067">
            <w:pPr>
              <w:rPr>
                <w:rStyle w:val="Strong"/>
                <w:rFonts w:ascii="Times New Roman" w:hAnsi="Times New Roman" w:cs="Times New Roman"/>
              </w:rPr>
            </w:pPr>
          </w:p>
          <w:p w:rsidR="00850E15" w:rsidRPr="00B97A8F" w:rsidRDefault="00850E15" w:rsidP="002C4067">
            <w:pPr>
              <w:rPr>
                <w:rStyle w:val="Strong"/>
                <w:rFonts w:ascii="Times New Roman" w:hAnsi="Times New Roman" w:cs="Times New Roman"/>
              </w:rPr>
            </w:pPr>
          </w:p>
          <w:p w:rsidR="00B97A8F" w:rsidRPr="00B97A8F" w:rsidRDefault="00B97A8F" w:rsidP="002C4067">
            <w:pPr>
              <w:rPr>
                <w:rStyle w:val="Strong"/>
                <w:rFonts w:ascii="Times New Roman" w:hAnsi="Times New Roman" w:cs="Times New Roman"/>
              </w:rPr>
            </w:pPr>
          </w:p>
          <w:p w:rsidR="002C4067" w:rsidRPr="00B97A8F" w:rsidRDefault="002C4067" w:rsidP="002C4067">
            <w:pPr>
              <w:rPr>
                <w:rFonts w:ascii="Times New Roman" w:hAnsi="Times New Roman" w:cs="Times New Roman"/>
              </w:rPr>
            </w:pPr>
            <w:r w:rsidRPr="00B97A8F">
              <w:rPr>
                <w:rStyle w:val="Strong"/>
                <w:rFonts w:ascii="Times New Roman" w:hAnsi="Times New Roman" w:cs="Times New Roman"/>
              </w:rPr>
              <w:t>Subdivision 4</w:t>
            </w:r>
            <w:r w:rsidRPr="00B97A8F">
              <w:rPr>
                <w:rFonts w:ascii="Times New Roman" w:hAnsi="Times New Roman" w:cs="Times New Roman"/>
              </w:rPr>
              <w:t xml:space="preserve"> requires government entities to provide notice</w:t>
            </w:r>
            <w:r w:rsidR="00254818">
              <w:rPr>
                <w:rFonts w:ascii="Times New Roman" w:hAnsi="Times New Roman" w:cs="Times New Roman"/>
              </w:rPr>
              <w:t xml:space="preserve"> within three days</w:t>
            </w:r>
            <w:r w:rsidRPr="00B97A8F">
              <w:rPr>
                <w:rFonts w:ascii="Times New Roman" w:hAnsi="Times New Roman" w:cs="Times New Roman"/>
              </w:rPr>
              <w:t xml:space="preserve"> to individuals who have their location information collected. Allows for delayed</w:t>
            </w:r>
            <w:r w:rsidR="00254818">
              <w:rPr>
                <w:rFonts w:ascii="Times New Roman" w:hAnsi="Times New Roman" w:cs="Times New Roman"/>
              </w:rPr>
              <w:t xml:space="preserve"> </w:t>
            </w:r>
            <w:r w:rsidRPr="00B97A8F">
              <w:rPr>
                <w:rFonts w:ascii="Times New Roman" w:hAnsi="Times New Roman" w:cs="Times New Roman"/>
              </w:rPr>
              <w:t>notice</w:t>
            </w:r>
            <w:r w:rsidR="00AC17BF">
              <w:rPr>
                <w:rFonts w:ascii="Times New Roman" w:hAnsi="Times New Roman" w:cs="Times New Roman"/>
              </w:rPr>
              <w:t xml:space="preserve"> (90-day extensions)</w:t>
            </w:r>
            <w:r w:rsidRPr="00B97A8F">
              <w:rPr>
                <w:rFonts w:ascii="Times New Roman" w:hAnsi="Times New Roman" w:cs="Times New Roman"/>
              </w:rPr>
              <w:t xml:space="preserve"> in certain circumstances.</w:t>
            </w:r>
            <w:r w:rsidR="00254818">
              <w:rPr>
                <w:rFonts w:ascii="Times New Roman" w:hAnsi="Times New Roman" w:cs="Times New Roman"/>
              </w:rPr>
              <w:t xml:space="preserve"> A government entity may include in its application for the warrant a request for an order delay</w:t>
            </w:r>
            <w:r w:rsidR="00AC17BF">
              <w:rPr>
                <w:rFonts w:ascii="Times New Roman" w:hAnsi="Times New Roman" w:cs="Times New Roman"/>
              </w:rPr>
              <w:t>ing</w:t>
            </w:r>
            <w:r w:rsidR="00254818">
              <w:rPr>
                <w:rFonts w:ascii="Times New Roman" w:hAnsi="Times New Roman" w:cs="Times New Roman"/>
              </w:rPr>
              <w:t xml:space="preserve"> the initial notice and/or to direct a provider to whom the warrant is directed not to inform anyone of the warrant</w:t>
            </w:r>
            <w:r w:rsidR="00AC17BF">
              <w:rPr>
                <w:rFonts w:ascii="Times New Roman" w:hAnsi="Times New Roman" w:cs="Times New Roman"/>
              </w:rPr>
              <w:t>’</w:t>
            </w:r>
            <w:r w:rsidR="00254818">
              <w:rPr>
                <w:rFonts w:ascii="Times New Roman" w:hAnsi="Times New Roman" w:cs="Times New Roman"/>
              </w:rPr>
              <w:t xml:space="preserve">s existence. Requires notice to be </w:t>
            </w:r>
            <w:r w:rsidR="00AC17BF">
              <w:rPr>
                <w:rFonts w:ascii="Times New Roman" w:hAnsi="Times New Roman" w:cs="Times New Roman"/>
              </w:rPr>
              <w:t>by registered or</w:t>
            </w:r>
            <w:r w:rsidR="00254818">
              <w:rPr>
                <w:rFonts w:ascii="Times New Roman" w:hAnsi="Times New Roman" w:cs="Times New Roman"/>
              </w:rPr>
              <w:t xml:space="preserve"> first class mail and specifies the contents of the notice.</w:t>
            </w: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p w:rsidR="00254818" w:rsidRDefault="00254818" w:rsidP="002C4067">
            <w:pPr>
              <w:rPr>
                <w:rStyle w:val="Strong"/>
                <w:rFonts w:ascii="Times New Roman" w:hAnsi="Times New Roman" w:cs="Times New Roman"/>
              </w:rPr>
            </w:pPr>
          </w:p>
          <w:p w:rsidR="002C4067" w:rsidRPr="00B97A8F" w:rsidRDefault="002C4067" w:rsidP="002C4067">
            <w:pPr>
              <w:rPr>
                <w:rFonts w:ascii="Times New Roman" w:hAnsi="Times New Roman" w:cs="Times New Roman"/>
              </w:rPr>
            </w:pPr>
            <w:r w:rsidRPr="00B97A8F">
              <w:rPr>
                <w:rStyle w:val="Strong"/>
                <w:rFonts w:ascii="Times New Roman" w:hAnsi="Times New Roman" w:cs="Times New Roman"/>
              </w:rPr>
              <w:t>Subdivision 5</w:t>
            </w:r>
            <w:r w:rsidRPr="00B97A8F">
              <w:rPr>
                <w:rFonts w:ascii="Times New Roman" w:hAnsi="Times New Roman" w:cs="Times New Roman"/>
              </w:rPr>
              <w:t xml:space="preserve"> requires judges to report to the State Court Administrator on warrant applications and notices of warrantless collection of location information that judges receive each year. The State Court Administrator must annually report to the Legislature on these issues and publish the report on the Internet.</w:t>
            </w:r>
          </w:p>
          <w:p w:rsidR="002C4067" w:rsidRPr="00B97A8F" w:rsidRDefault="002C4067" w:rsidP="002C4067">
            <w:pPr>
              <w:rPr>
                <w:rFonts w:ascii="Times New Roman" w:hAnsi="Times New Roman" w:cs="Times New Roman"/>
              </w:rPr>
            </w:pPr>
          </w:p>
          <w:p w:rsidR="00B97A8F" w:rsidRPr="00B97A8F" w:rsidRDefault="00B97A8F" w:rsidP="002C4067">
            <w:pPr>
              <w:rPr>
                <w:rStyle w:val="Strong"/>
                <w:rFonts w:ascii="Times New Roman" w:hAnsi="Times New Roman" w:cs="Times New Roman"/>
              </w:rPr>
            </w:pPr>
          </w:p>
          <w:p w:rsidR="00B97A8F" w:rsidRPr="00B97A8F" w:rsidRDefault="00B97A8F" w:rsidP="002C4067">
            <w:pPr>
              <w:rPr>
                <w:rStyle w:val="Strong"/>
                <w:rFonts w:ascii="Times New Roman" w:hAnsi="Times New Roman" w:cs="Times New Roman"/>
              </w:rPr>
            </w:pPr>
          </w:p>
          <w:p w:rsidR="00B97A8F" w:rsidRPr="00B97A8F" w:rsidRDefault="00B97A8F" w:rsidP="002C4067">
            <w:pPr>
              <w:rPr>
                <w:rStyle w:val="Strong"/>
                <w:rFonts w:ascii="Times New Roman" w:hAnsi="Times New Roman" w:cs="Times New Roman"/>
              </w:rPr>
            </w:pPr>
          </w:p>
          <w:p w:rsidR="002C4067" w:rsidRPr="00B97A8F" w:rsidRDefault="002C4067" w:rsidP="002C4067">
            <w:pPr>
              <w:rPr>
                <w:rFonts w:ascii="Times New Roman" w:hAnsi="Times New Roman" w:cs="Times New Roman"/>
                <w:b/>
              </w:rPr>
            </w:pPr>
            <w:r w:rsidRPr="00B97A8F">
              <w:rPr>
                <w:rStyle w:val="Strong"/>
                <w:rFonts w:ascii="Times New Roman" w:hAnsi="Times New Roman" w:cs="Times New Roman"/>
              </w:rPr>
              <w:lastRenderedPageBreak/>
              <w:t>Subdivision 6</w:t>
            </w:r>
            <w:r w:rsidRPr="00B97A8F">
              <w:rPr>
                <w:rFonts w:ascii="Times New Roman" w:hAnsi="Times New Roman" w:cs="Times New Roman"/>
              </w:rPr>
              <w:t xml:space="preserve"> prohibits evidence obtained in violation of this section from being admitted in any criminal, civil, administrative, or other proceeding. Requires at least a ten day notice to be given to parties when evidence collected under this section is to be offered as evidence in a legal dispute.</w:t>
            </w:r>
          </w:p>
        </w:tc>
        <w:tc>
          <w:tcPr>
            <w:tcW w:w="6311" w:type="dxa"/>
          </w:tcPr>
          <w:p w:rsidR="008D51BA" w:rsidRPr="00B97A8F" w:rsidRDefault="008D51BA" w:rsidP="002C4067">
            <w:pPr>
              <w:rPr>
                <w:rFonts w:ascii="Times New Roman" w:hAnsi="Times New Roman" w:cs="Times New Roman"/>
              </w:rPr>
            </w:pPr>
            <w:r w:rsidRPr="00B97A8F">
              <w:rPr>
                <w:rFonts w:ascii="Times New Roman" w:hAnsi="Times New Roman" w:cs="Times New Roman"/>
                <w:b/>
              </w:rPr>
              <w:lastRenderedPageBreak/>
              <w:t xml:space="preserve">Identical, </w:t>
            </w:r>
            <w:r w:rsidRPr="00B97A8F">
              <w:rPr>
                <w:rFonts w:ascii="Times New Roman" w:hAnsi="Times New Roman" w:cs="Times New Roman"/>
              </w:rPr>
              <w:t>except the House doe</w:t>
            </w:r>
            <w:r w:rsidR="005F003F">
              <w:rPr>
                <w:rFonts w:ascii="Times New Roman" w:hAnsi="Times New Roman" w:cs="Times New Roman"/>
              </w:rPr>
              <w:t xml:space="preserve">s not define (or use the term) </w:t>
            </w:r>
            <w:r w:rsidRPr="00B97A8F">
              <w:rPr>
                <w:rFonts w:ascii="Times New Roman" w:hAnsi="Times New Roman" w:cs="Times New Roman"/>
              </w:rPr>
              <w:t>tracking warrant. Instead</w:t>
            </w:r>
            <w:r w:rsidR="005F003F">
              <w:rPr>
                <w:rFonts w:ascii="Times New Roman" w:hAnsi="Times New Roman" w:cs="Times New Roman"/>
              </w:rPr>
              <w:t>, the House generally requires a court order</w:t>
            </w:r>
            <w:r w:rsidRPr="00B97A8F">
              <w:rPr>
                <w:rFonts w:ascii="Times New Roman" w:hAnsi="Times New Roman" w:cs="Times New Roman"/>
              </w:rPr>
              <w:t xml:space="preserve"> for government entities to obtain location information.</w:t>
            </w:r>
          </w:p>
          <w:p w:rsidR="008D51BA" w:rsidRPr="00B97A8F" w:rsidRDefault="008D51BA" w:rsidP="002C4067">
            <w:pPr>
              <w:rPr>
                <w:rFonts w:ascii="Times New Roman" w:hAnsi="Times New Roman" w:cs="Times New Roman"/>
              </w:rPr>
            </w:pPr>
          </w:p>
          <w:p w:rsidR="00850E15" w:rsidRPr="00B97A8F" w:rsidRDefault="00850E15" w:rsidP="002C4067">
            <w:pPr>
              <w:rPr>
                <w:rFonts w:ascii="Times New Roman" w:hAnsi="Times New Roman" w:cs="Times New Roman"/>
              </w:rPr>
            </w:pPr>
          </w:p>
          <w:p w:rsidR="008D51BA" w:rsidRPr="00B97A8F" w:rsidRDefault="008D51BA" w:rsidP="002C4067">
            <w:pPr>
              <w:rPr>
                <w:rFonts w:ascii="Times New Roman" w:hAnsi="Times New Roman" w:cs="Times New Roman"/>
              </w:rPr>
            </w:pPr>
            <w:r w:rsidRPr="00B97A8F">
              <w:rPr>
                <w:rFonts w:ascii="Times New Roman" w:hAnsi="Times New Roman" w:cs="Times New Roman"/>
                <w:b/>
              </w:rPr>
              <w:t xml:space="preserve">Similar. </w:t>
            </w:r>
            <w:r w:rsidR="005F003F" w:rsidRPr="005F003F">
              <w:rPr>
                <w:rFonts w:ascii="Times New Roman" w:hAnsi="Times New Roman" w:cs="Times New Roman"/>
              </w:rPr>
              <w:t>The</w:t>
            </w:r>
            <w:r w:rsidRPr="005F003F">
              <w:rPr>
                <w:rFonts w:ascii="Times New Roman" w:hAnsi="Times New Roman" w:cs="Times New Roman"/>
              </w:rPr>
              <w:t xml:space="preserve"> Senate and House</w:t>
            </w:r>
            <w:r w:rsidR="005F003F" w:rsidRPr="005F003F">
              <w:rPr>
                <w:rFonts w:ascii="Times New Roman" w:hAnsi="Times New Roman" w:cs="Times New Roman"/>
              </w:rPr>
              <w:t xml:space="preserve"> differ on</w:t>
            </w:r>
            <w:r w:rsidRPr="005F003F">
              <w:rPr>
                <w:rFonts w:ascii="Times New Roman" w:hAnsi="Times New Roman" w:cs="Times New Roman"/>
              </w:rPr>
              <w:t xml:space="preserve"> allow</w:t>
            </w:r>
            <w:r w:rsidR="005F003F" w:rsidRPr="005F003F">
              <w:rPr>
                <w:rFonts w:ascii="Times New Roman" w:hAnsi="Times New Roman" w:cs="Times New Roman"/>
              </w:rPr>
              <w:t>ing</w:t>
            </w:r>
            <w:r w:rsidRPr="005F003F">
              <w:rPr>
                <w:rFonts w:ascii="Times New Roman" w:hAnsi="Times New Roman" w:cs="Times New Roman"/>
              </w:rPr>
              <w:t xml:space="preserve"> location information to be obtained by a government entity without a tracking warrant/court order in emergency situations</w:t>
            </w:r>
            <w:r w:rsidR="005F003F" w:rsidRPr="005F003F">
              <w:rPr>
                <w:rFonts w:ascii="Times New Roman" w:hAnsi="Times New Roman" w:cs="Times New Roman"/>
              </w:rPr>
              <w:t>.</w:t>
            </w:r>
            <w:r w:rsidRPr="005F003F">
              <w:rPr>
                <w:rFonts w:ascii="Times New Roman" w:hAnsi="Times New Roman" w:cs="Times New Roman"/>
              </w:rPr>
              <w:t xml:space="preserve"> </w:t>
            </w:r>
            <w:r w:rsidR="005F003F" w:rsidRPr="005F003F">
              <w:rPr>
                <w:rFonts w:ascii="Times New Roman" w:hAnsi="Times New Roman" w:cs="Times New Roman"/>
              </w:rPr>
              <w:t>T</w:t>
            </w:r>
            <w:r w:rsidRPr="005F003F">
              <w:rPr>
                <w:rFonts w:ascii="Times New Roman" w:hAnsi="Times New Roman" w:cs="Times New Roman"/>
              </w:rPr>
              <w:t>he House requires that it be an emergency situation involving the risk of death or serious physical harm, while the Senate requires that it involve immediate danger</w:t>
            </w:r>
            <w:r w:rsidR="00C47EFE">
              <w:rPr>
                <w:rFonts w:ascii="Times New Roman" w:hAnsi="Times New Roman" w:cs="Times New Roman"/>
              </w:rPr>
              <w:t xml:space="preserve"> of death or serious physical injury</w:t>
            </w:r>
            <w:r w:rsidRPr="005F003F">
              <w:rPr>
                <w:rFonts w:ascii="Times New Roman" w:hAnsi="Times New Roman" w:cs="Times New Roman"/>
              </w:rPr>
              <w:t xml:space="preserve">. The Senate further </w:t>
            </w:r>
            <w:r w:rsidR="005F003F">
              <w:rPr>
                <w:rFonts w:ascii="Times New Roman" w:hAnsi="Times New Roman" w:cs="Times New Roman"/>
              </w:rPr>
              <w:t>provide</w:t>
            </w:r>
            <w:r w:rsidRPr="005F003F">
              <w:rPr>
                <w:rFonts w:ascii="Times New Roman" w:hAnsi="Times New Roman" w:cs="Times New Roman"/>
              </w:rPr>
              <w:t>s that the emergency</w:t>
            </w:r>
            <w:r w:rsidR="005F003F">
              <w:rPr>
                <w:rFonts w:ascii="Times New Roman" w:hAnsi="Times New Roman" w:cs="Times New Roman"/>
              </w:rPr>
              <w:t xml:space="preserve"> must</w:t>
            </w:r>
            <w:r w:rsidRPr="005F003F">
              <w:rPr>
                <w:rFonts w:ascii="Times New Roman" w:hAnsi="Times New Roman" w:cs="Times New Roman"/>
              </w:rPr>
              <w:t xml:space="preserve"> require </w:t>
            </w:r>
            <w:r w:rsidR="00850E15" w:rsidRPr="005F003F">
              <w:rPr>
                <w:rFonts w:ascii="Times New Roman" w:hAnsi="Times New Roman" w:cs="Times New Roman"/>
              </w:rPr>
              <w:t>obtaining the information without delay, the search</w:t>
            </w:r>
            <w:r w:rsidR="005F003F">
              <w:rPr>
                <w:rFonts w:ascii="Times New Roman" w:hAnsi="Times New Roman" w:cs="Times New Roman"/>
              </w:rPr>
              <w:t xml:space="preserve"> be </w:t>
            </w:r>
            <w:r w:rsidR="00850E15" w:rsidRPr="005F003F">
              <w:rPr>
                <w:rFonts w:ascii="Times New Roman" w:hAnsi="Times New Roman" w:cs="Times New Roman"/>
              </w:rPr>
              <w:t>narrowly tailored to address the emergency, and the government entity document the basis for the access and set forth the grounds for access to a court within 48 hours.</w:t>
            </w:r>
          </w:p>
          <w:p w:rsidR="00850E15" w:rsidRPr="00B97A8F" w:rsidRDefault="00850E15" w:rsidP="002C4067">
            <w:pPr>
              <w:rPr>
                <w:rFonts w:ascii="Times New Roman" w:hAnsi="Times New Roman" w:cs="Times New Roman"/>
              </w:rPr>
            </w:pPr>
          </w:p>
          <w:p w:rsidR="00B97A8F" w:rsidRPr="00B97A8F" w:rsidRDefault="00B97A8F" w:rsidP="00B97A8F">
            <w:pPr>
              <w:rPr>
                <w:rFonts w:ascii="Times New Roman" w:hAnsi="Times New Roman" w:cs="Times New Roman"/>
              </w:rPr>
            </w:pPr>
            <w:r w:rsidRPr="00B97A8F">
              <w:rPr>
                <w:rFonts w:ascii="Times New Roman" w:hAnsi="Times New Roman" w:cs="Times New Roman"/>
                <w:b/>
              </w:rPr>
              <w:t>Identical,</w:t>
            </w:r>
            <w:r w:rsidRPr="00B97A8F">
              <w:rPr>
                <w:rFonts w:ascii="Times New Roman" w:hAnsi="Times New Roman" w:cs="Times New Roman"/>
              </w:rPr>
              <w:t xml:space="preserve"> except for the references to court orders rather than tracking warrants.</w:t>
            </w:r>
          </w:p>
          <w:p w:rsidR="00B97A8F" w:rsidRPr="00B97A8F" w:rsidRDefault="00B97A8F" w:rsidP="00B97A8F">
            <w:pPr>
              <w:rPr>
                <w:rFonts w:ascii="Times New Roman" w:hAnsi="Times New Roman" w:cs="Times New Roman"/>
              </w:rPr>
            </w:pPr>
          </w:p>
          <w:p w:rsidR="00B97A8F" w:rsidRPr="00B97A8F" w:rsidRDefault="00B97A8F" w:rsidP="00B97A8F">
            <w:pPr>
              <w:rPr>
                <w:rFonts w:ascii="Times New Roman" w:hAnsi="Times New Roman" w:cs="Times New Roman"/>
              </w:rPr>
            </w:pPr>
          </w:p>
          <w:p w:rsidR="00B97A8F" w:rsidRPr="00B97A8F" w:rsidRDefault="00B97A8F" w:rsidP="00B97A8F">
            <w:pPr>
              <w:rPr>
                <w:rFonts w:ascii="Times New Roman" w:hAnsi="Times New Roman" w:cs="Times New Roman"/>
              </w:rPr>
            </w:pPr>
          </w:p>
          <w:p w:rsidR="00B97A8F" w:rsidRPr="00B97A8F" w:rsidRDefault="00B97A8F" w:rsidP="00B97A8F">
            <w:pPr>
              <w:rPr>
                <w:rFonts w:ascii="Times New Roman" w:hAnsi="Times New Roman" w:cs="Times New Roman"/>
              </w:rPr>
            </w:pPr>
          </w:p>
          <w:p w:rsidR="00B97A8F" w:rsidRPr="00B97A8F" w:rsidRDefault="00B97A8F" w:rsidP="00B97A8F">
            <w:pPr>
              <w:rPr>
                <w:rFonts w:ascii="Times New Roman" w:hAnsi="Times New Roman" w:cs="Times New Roman"/>
              </w:rPr>
            </w:pPr>
          </w:p>
          <w:p w:rsidR="00B97A8F" w:rsidRPr="00B97A8F" w:rsidRDefault="00B97A8F" w:rsidP="00B97A8F">
            <w:pPr>
              <w:rPr>
                <w:rFonts w:ascii="Times New Roman" w:hAnsi="Times New Roman" w:cs="Times New Roman"/>
              </w:rPr>
            </w:pPr>
          </w:p>
          <w:p w:rsidR="00B97A8F" w:rsidRPr="00B97A8F" w:rsidRDefault="00B97A8F" w:rsidP="00B97A8F">
            <w:pPr>
              <w:rPr>
                <w:rFonts w:ascii="Times New Roman" w:hAnsi="Times New Roman" w:cs="Times New Roman"/>
              </w:rPr>
            </w:pPr>
          </w:p>
          <w:p w:rsidR="00B97A8F" w:rsidRPr="00B97A8F" w:rsidRDefault="00B97A8F" w:rsidP="00B97A8F">
            <w:pPr>
              <w:rPr>
                <w:rFonts w:ascii="Times New Roman" w:hAnsi="Times New Roman" w:cs="Times New Roman"/>
              </w:rPr>
            </w:pPr>
          </w:p>
          <w:p w:rsidR="00B97A8F" w:rsidRDefault="00B97A8F" w:rsidP="00B97A8F">
            <w:pPr>
              <w:rPr>
                <w:rFonts w:ascii="Times New Roman" w:hAnsi="Times New Roman" w:cs="Times New Roman"/>
              </w:rPr>
            </w:pPr>
          </w:p>
          <w:p w:rsidR="00B97A8F" w:rsidRDefault="00B97A8F" w:rsidP="00B97A8F">
            <w:pPr>
              <w:rPr>
                <w:rFonts w:ascii="Times New Roman" w:hAnsi="Times New Roman" w:cs="Times New Roman"/>
              </w:rPr>
            </w:pPr>
          </w:p>
          <w:p w:rsidR="00C47EFE" w:rsidRDefault="00C47EFE" w:rsidP="00B97A8F">
            <w:pPr>
              <w:rPr>
                <w:rFonts w:ascii="Times New Roman" w:hAnsi="Times New Roman" w:cs="Times New Roman"/>
              </w:rPr>
            </w:pPr>
            <w:r>
              <w:rPr>
                <w:rFonts w:ascii="Times New Roman" w:hAnsi="Times New Roman" w:cs="Times New Roman"/>
                <w:b/>
              </w:rPr>
              <w:t xml:space="preserve">Different. </w:t>
            </w:r>
            <w:r w:rsidR="00850E15" w:rsidRPr="00B97A8F">
              <w:rPr>
                <w:rFonts w:ascii="Times New Roman" w:hAnsi="Times New Roman" w:cs="Times New Roman"/>
              </w:rPr>
              <w:t>Th</w:t>
            </w:r>
            <w:r>
              <w:rPr>
                <w:rFonts w:ascii="Times New Roman" w:hAnsi="Times New Roman" w:cs="Times New Roman"/>
              </w:rPr>
              <w:t xml:space="preserve">e House differs in a number of </w:t>
            </w:r>
            <w:r w:rsidR="00850E15" w:rsidRPr="00B97A8F">
              <w:rPr>
                <w:rFonts w:ascii="Times New Roman" w:hAnsi="Times New Roman" w:cs="Times New Roman"/>
              </w:rPr>
              <w:t xml:space="preserve">ways. </w:t>
            </w:r>
            <w:r w:rsidR="00254818">
              <w:rPr>
                <w:rFonts w:ascii="Times New Roman" w:hAnsi="Times New Roman" w:cs="Times New Roman"/>
              </w:rPr>
              <w:t xml:space="preserve">To generalize, the House notice provisions require less information to be disclosed </w:t>
            </w:r>
            <w:r w:rsidR="00C912F5">
              <w:rPr>
                <w:rFonts w:ascii="Times New Roman" w:hAnsi="Times New Roman" w:cs="Times New Roman"/>
              </w:rPr>
              <w:t xml:space="preserve">(and requires that the judge (and not the government entity) make the disclosure) </w:t>
            </w:r>
            <w:r w:rsidR="00254818">
              <w:rPr>
                <w:rFonts w:ascii="Times New Roman" w:hAnsi="Times New Roman" w:cs="Times New Roman"/>
              </w:rPr>
              <w:t xml:space="preserve">and would likely result in delayed notification compared to the Senate. </w:t>
            </w:r>
          </w:p>
          <w:p w:rsidR="00C47EFE" w:rsidRDefault="00850E15" w:rsidP="00B97A8F">
            <w:pPr>
              <w:rPr>
                <w:rFonts w:ascii="Times New Roman" w:hAnsi="Times New Roman" w:cs="Times New Roman"/>
              </w:rPr>
            </w:pPr>
            <w:r w:rsidRPr="00B97A8F">
              <w:rPr>
                <w:rFonts w:ascii="Times New Roman" w:hAnsi="Times New Roman" w:cs="Times New Roman"/>
              </w:rPr>
              <w:t>The House</w:t>
            </w:r>
            <w:r w:rsidR="00C47EFE">
              <w:rPr>
                <w:rFonts w:ascii="Times New Roman" w:hAnsi="Times New Roman" w:cs="Times New Roman"/>
              </w:rPr>
              <w:t>:</w:t>
            </w:r>
          </w:p>
          <w:p w:rsidR="00C47EFE" w:rsidRDefault="00C47EFE" w:rsidP="00C47EFE">
            <w:pPr>
              <w:pStyle w:val="ListParagraph"/>
              <w:numPr>
                <w:ilvl w:val="0"/>
                <w:numId w:val="2"/>
              </w:numPr>
              <w:rPr>
                <w:rFonts w:ascii="Times New Roman" w:hAnsi="Times New Roman" w:cs="Times New Roman"/>
              </w:rPr>
            </w:pPr>
            <w:r>
              <w:rPr>
                <w:rFonts w:ascii="Times New Roman" w:hAnsi="Times New Roman" w:cs="Times New Roman"/>
              </w:rPr>
              <w:t>A</w:t>
            </w:r>
            <w:r w:rsidR="00850E15" w:rsidRPr="00C47EFE">
              <w:rPr>
                <w:rFonts w:ascii="Times New Roman" w:hAnsi="Times New Roman" w:cs="Times New Roman"/>
              </w:rPr>
              <w:t>utomatically seals an order authorizing the collection of location information for 90 days or until the order’s objective has been achieved, whichever is shorter, and requires that the order be filed with the court within ten days of its expiration.</w:t>
            </w:r>
            <w:r w:rsidR="00F10A3F" w:rsidRPr="00C47EFE">
              <w:rPr>
                <w:rFonts w:ascii="Times New Roman" w:hAnsi="Times New Roman" w:cs="Times New Roman"/>
              </w:rPr>
              <w:t xml:space="preserve"> </w:t>
            </w:r>
            <w:r w:rsidR="00B97A8F" w:rsidRPr="00C47EFE">
              <w:rPr>
                <w:rFonts w:ascii="Times New Roman" w:hAnsi="Times New Roman" w:cs="Times New Roman"/>
              </w:rPr>
              <w:t xml:space="preserve"> </w:t>
            </w:r>
          </w:p>
          <w:p w:rsidR="00C47EFE" w:rsidRDefault="00B97A8F" w:rsidP="00C47EFE">
            <w:pPr>
              <w:pStyle w:val="ListParagraph"/>
              <w:numPr>
                <w:ilvl w:val="0"/>
                <w:numId w:val="2"/>
              </w:numPr>
              <w:rPr>
                <w:rFonts w:ascii="Times New Roman" w:hAnsi="Times New Roman" w:cs="Times New Roman"/>
              </w:rPr>
            </w:pPr>
            <w:r w:rsidRPr="00C47EFE">
              <w:rPr>
                <w:rFonts w:ascii="Times New Roman" w:hAnsi="Times New Roman" w:cs="Times New Roman"/>
              </w:rPr>
              <w:t xml:space="preserve">Authorizes the prosecutor to request that the order not be filed. This request must be granted if the court finds reasonable grounds to believe that filing the order may cause the search to be unsuccessful, create a substantial risk of injury to an innocent person, or severely hamper an ongoing investigation. </w:t>
            </w:r>
          </w:p>
          <w:p w:rsidR="00B97A8F" w:rsidRPr="00C47EFE" w:rsidRDefault="00B97A8F" w:rsidP="00C47EFE">
            <w:pPr>
              <w:pStyle w:val="ListParagraph"/>
              <w:numPr>
                <w:ilvl w:val="0"/>
                <w:numId w:val="2"/>
              </w:numPr>
              <w:rPr>
                <w:rFonts w:ascii="Times New Roman" w:hAnsi="Times New Roman" w:cs="Times New Roman"/>
              </w:rPr>
            </w:pPr>
            <w:r w:rsidRPr="00C47EFE">
              <w:rPr>
                <w:rFonts w:ascii="Times New Roman" w:hAnsi="Times New Roman" w:cs="Times New Roman"/>
              </w:rPr>
              <w:t xml:space="preserve">Provides that within a reasonable time, but not later than 90 days after the court unseals an order, notice </w:t>
            </w:r>
            <w:r w:rsidR="00C47EFE" w:rsidRPr="00C47EFE">
              <w:rPr>
                <w:rFonts w:ascii="Times New Roman" w:hAnsi="Times New Roman" w:cs="Times New Roman"/>
              </w:rPr>
              <w:t xml:space="preserve">must be given </w:t>
            </w:r>
            <w:r w:rsidRPr="00C47EFE">
              <w:rPr>
                <w:rFonts w:ascii="Times New Roman" w:hAnsi="Times New Roman" w:cs="Times New Roman"/>
              </w:rPr>
              <w:t>that includes:</w:t>
            </w:r>
          </w:p>
          <w:p w:rsidR="00B97A8F" w:rsidRPr="00B97A8F" w:rsidRDefault="00B97A8F" w:rsidP="00C47EFE">
            <w:pPr>
              <w:pStyle w:val="ListParagraph"/>
              <w:numPr>
                <w:ilvl w:val="0"/>
                <w:numId w:val="3"/>
              </w:numPr>
              <w:rPr>
                <w:rFonts w:ascii="Times New Roman" w:hAnsi="Times New Roman" w:cs="Times New Roman"/>
              </w:rPr>
            </w:pPr>
            <w:r w:rsidRPr="00B97A8F">
              <w:rPr>
                <w:rFonts w:ascii="Times New Roman" w:hAnsi="Times New Roman" w:cs="Times New Roman"/>
              </w:rPr>
              <w:t>the fact of the issuance of the order or the application;</w:t>
            </w:r>
          </w:p>
          <w:p w:rsidR="00B97A8F" w:rsidRPr="00B97A8F" w:rsidRDefault="00B97A8F" w:rsidP="00C47EFE">
            <w:pPr>
              <w:pStyle w:val="ListParagraph"/>
              <w:numPr>
                <w:ilvl w:val="0"/>
                <w:numId w:val="3"/>
              </w:numPr>
              <w:rPr>
                <w:rFonts w:ascii="Times New Roman" w:hAnsi="Times New Roman" w:cs="Times New Roman"/>
              </w:rPr>
            </w:pPr>
            <w:r w:rsidRPr="00B97A8F">
              <w:rPr>
                <w:rFonts w:ascii="Times New Roman" w:hAnsi="Times New Roman" w:cs="Times New Roman"/>
              </w:rPr>
              <w:t>the date of the issuance</w:t>
            </w:r>
            <w:r w:rsidR="00AC17BF">
              <w:rPr>
                <w:rFonts w:ascii="Times New Roman" w:hAnsi="Times New Roman" w:cs="Times New Roman"/>
              </w:rPr>
              <w:t xml:space="preserve"> </w:t>
            </w:r>
            <w:r w:rsidRPr="00B97A8F">
              <w:rPr>
                <w:rFonts w:ascii="Times New Roman" w:hAnsi="Times New Roman" w:cs="Times New Roman"/>
              </w:rPr>
              <w:t>and the period of authorized, approved, or disapproved collection of location information, or the denial of the application; and</w:t>
            </w:r>
          </w:p>
          <w:p w:rsidR="00C47EFE" w:rsidRDefault="00B97A8F" w:rsidP="002C4067">
            <w:pPr>
              <w:pStyle w:val="ListParagraph"/>
              <w:numPr>
                <w:ilvl w:val="0"/>
                <w:numId w:val="3"/>
              </w:numPr>
              <w:rPr>
                <w:rFonts w:ascii="Times New Roman" w:hAnsi="Times New Roman" w:cs="Times New Roman"/>
              </w:rPr>
            </w:pPr>
            <w:r w:rsidRPr="00B97A8F">
              <w:rPr>
                <w:rFonts w:ascii="Times New Roman" w:hAnsi="Times New Roman" w:cs="Times New Roman"/>
              </w:rPr>
              <w:t>the fact that during the period location information was or was not intercepted.</w:t>
            </w:r>
          </w:p>
          <w:p w:rsidR="00C47EFE" w:rsidRPr="00C47EFE" w:rsidRDefault="00C47EFE" w:rsidP="00C47EFE">
            <w:pPr>
              <w:rPr>
                <w:rFonts w:ascii="Times New Roman" w:hAnsi="Times New Roman" w:cs="Times New Roman"/>
              </w:rPr>
            </w:pPr>
          </w:p>
          <w:p w:rsidR="00C912F5" w:rsidRDefault="00C912F5" w:rsidP="002C4067">
            <w:pPr>
              <w:rPr>
                <w:rFonts w:ascii="Times New Roman" w:hAnsi="Times New Roman" w:cs="Times New Roman"/>
                <w:b/>
              </w:rPr>
            </w:pPr>
          </w:p>
          <w:p w:rsidR="00B97A8F" w:rsidRPr="00B97A8F" w:rsidRDefault="00C47EFE" w:rsidP="002C4067">
            <w:pPr>
              <w:rPr>
                <w:rFonts w:ascii="Times New Roman" w:hAnsi="Times New Roman" w:cs="Times New Roman"/>
              </w:rPr>
            </w:pPr>
            <w:r>
              <w:rPr>
                <w:rFonts w:ascii="Times New Roman" w:hAnsi="Times New Roman" w:cs="Times New Roman"/>
                <w:b/>
              </w:rPr>
              <w:t xml:space="preserve">Different. </w:t>
            </w:r>
            <w:r>
              <w:rPr>
                <w:rFonts w:ascii="Times New Roman" w:hAnsi="Times New Roman" w:cs="Times New Roman"/>
              </w:rPr>
              <w:t>The House differs on t</w:t>
            </w:r>
            <w:r w:rsidR="00B97A8F" w:rsidRPr="00B97A8F">
              <w:rPr>
                <w:rFonts w:ascii="Times New Roman" w:hAnsi="Times New Roman" w:cs="Times New Roman"/>
              </w:rPr>
              <w:t xml:space="preserve">he specific information required to be reported and the timeframe for </w:t>
            </w:r>
            <w:r>
              <w:rPr>
                <w:rFonts w:ascii="Times New Roman" w:hAnsi="Times New Roman" w:cs="Times New Roman"/>
              </w:rPr>
              <w:t xml:space="preserve">so </w:t>
            </w:r>
            <w:r w:rsidR="00B97A8F" w:rsidRPr="00B97A8F">
              <w:rPr>
                <w:rFonts w:ascii="Times New Roman" w:hAnsi="Times New Roman" w:cs="Times New Roman"/>
              </w:rPr>
              <w:t>doing. Of particular note, the House does not require reporting of emergency access to location information. In addition, the House requires that the state court administrator’s report to the legislature occur in each even-numbered year while the Senate requires an annual report. The Senate authorizes the state court administrator to issue binding regulations concerning the content and form of the reports from individual judges.</w:t>
            </w:r>
          </w:p>
          <w:p w:rsidR="00B97A8F" w:rsidRPr="00B97A8F" w:rsidRDefault="00B97A8F" w:rsidP="002C4067">
            <w:pPr>
              <w:rPr>
                <w:rFonts w:ascii="Times New Roman" w:hAnsi="Times New Roman" w:cs="Times New Roman"/>
                <w:b/>
              </w:rPr>
            </w:pPr>
            <w:r>
              <w:rPr>
                <w:rFonts w:ascii="Times New Roman" w:hAnsi="Times New Roman" w:cs="Times New Roman"/>
                <w:b/>
              </w:rPr>
              <w:lastRenderedPageBreak/>
              <w:t>No comparable provision.</w:t>
            </w:r>
          </w:p>
          <w:p w:rsidR="00B97A8F" w:rsidRPr="00B97A8F" w:rsidRDefault="00B97A8F" w:rsidP="002C4067">
            <w:pPr>
              <w:rPr>
                <w:rFonts w:ascii="Times New Roman" w:hAnsi="Times New Roman" w:cs="Times New Roman"/>
              </w:rPr>
            </w:pPr>
          </w:p>
          <w:p w:rsidR="00B97A8F" w:rsidRPr="00B97A8F" w:rsidRDefault="00B97A8F" w:rsidP="002C4067">
            <w:pPr>
              <w:rPr>
                <w:rFonts w:ascii="Times New Roman" w:hAnsi="Times New Roman" w:cs="Times New Roman"/>
              </w:rPr>
            </w:pPr>
          </w:p>
        </w:tc>
      </w:tr>
    </w:tbl>
    <w:p w:rsidR="004353B7" w:rsidRDefault="004353B7"/>
    <w:sectPr w:rsidR="004353B7" w:rsidSect="005F003F">
      <w:headerReference w:type="default" r:id="rId8"/>
      <w:footerReference w:type="default" r:id="rId9"/>
      <w:pgSz w:w="15840" w:h="12240" w:orient="landscape"/>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03F" w:rsidRDefault="005F003F" w:rsidP="002C4067">
      <w:pPr>
        <w:spacing w:after="0" w:line="240" w:lineRule="auto"/>
      </w:pPr>
      <w:r>
        <w:separator/>
      </w:r>
    </w:p>
  </w:endnote>
  <w:endnote w:type="continuationSeparator" w:id="0">
    <w:p w:rsidR="005F003F" w:rsidRDefault="005F003F" w:rsidP="002C40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03F" w:rsidRPr="00EB330B" w:rsidRDefault="005F003F" w:rsidP="005F003F">
    <w:pPr>
      <w:pStyle w:val="Header"/>
      <w:jc w:val="center"/>
      <w:rPr>
        <w:rFonts w:ascii="Times New Roman" w:hAnsi="Times New Roman" w:cs="Times New Roman"/>
        <w:sz w:val="20"/>
      </w:rPr>
    </w:pPr>
    <w:r>
      <w:rPr>
        <w:rFonts w:ascii="Times New Roman" w:hAnsi="Times New Roman" w:cs="Times New Roman"/>
        <w:sz w:val="20"/>
      </w:rPr>
      <w:t xml:space="preserve">                                                                                                                                                     Prepared by:  </w:t>
    </w:r>
    <w:r w:rsidRPr="00EB330B">
      <w:rPr>
        <w:rFonts w:ascii="Times New Roman" w:hAnsi="Times New Roman" w:cs="Times New Roman"/>
        <w:sz w:val="20"/>
      </w:rPr>
      <w:t>Kenneth Backhus</w:t>
    </w:r>
    <w:r>
      <w:rPr>
        <w:rFonts w:ascii="Times New Roman" w:hAnsi="Times New Roman" w:cs="Times New Roman"/>
        <w:sz w:val="20"/>
      </w:rPr>
      <w:t>, Senate Counsel</w:t>
    </w:r>
  </w:p>
  <w:p w:rsidR="005F003F" w:rsidRDefault="005F003F" w:rsidP="005F003F">
    <w:pPr>
      <w:pStyle w:val="Footer"/>
      <w:jc w:val="right"/>
    </w:pPr>
    <w:r w:rsidRPr="00EB330B">
      <w:rPr>
        <w:rFonts w:ascii="Times New Roman" w:hAnsi="Times New Roman" w:cs="Times New Roman"/>
        <w:sz w:val="20"/>
      </w:rPr>
      <w:t>Rebecca Pi</w:t>
    </w:r>
    <w:r>
      <w:rPr>
        <w:rFonts w:ascii="Times New Roman" w:hAnsi="Times New Roman" w:cs="Times New Roman"/>
        <w:sz w:val="20"/>
      </w:rPr>
      <w:t>rius, House Research Department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03F" w:rsidRDefault="005F003F" w:rsidP="002C4067">
      <w:pPr>
        <w:spacing w:after="0" w:line="240" w:lineRule="auto"/>
      </w:pPr>
      <w:r>
        <w:separator/>
      </w:r>
    </w:p>
  </w:footnote>
  <w:footnote w:type="continuationSeparator" w:id="0">
    <w:p w:rsidR="005F003F" w:rsidRDefault="005F003F" w:rsidP="002C40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03F" w:rsidRPr="002C4067" w:rsidRDefault="005F003F" w:rsidP="002C4067">
    <w:pPr>
      <w:pStyle w:val="Header"/>
      <w:jc w:val="center"/>
      <w:rPr>
        <w:rFonts w:ascii="Times New Roman" w:hAnsi="Times New Roman" w:cs="Times New Roman"/>
        <w:b/>
        <w:sz w:val="28"/>
      </w:rPr>
    </w:pPr>
    <w:r>
      <w:rPr>
        <w:rFonts w:ascii="Times New Roman" w:hAnsi="Times New Roman" w:cs="Times New Roman"/>
        <w:b/>
        <w:sz w:val="28"/>
      </w:rPr>
      <w:t>S.F. 2466 Side</w:t>
    </w:r>
    <w:r>
      <w:rPr>
        <w:rFonts w:ascii="Times New Roman" w:hAnsi="Times New Roman" w:cs="Times New Roman"/>
        <w:b/>
        <w:sz w:val="28"/>
      </w:rPr>
      <w:tab/>
      <w:t xml:space="preserve">-by-Side Summary: </w:t>
    </w:r>
    <w:r w:rsidRPr="002C4067">
      <w:rPr>
        <w:rFonts w:ascii="Times New Roman" w:hAnsi="Times New Roman" w:cs="Times New Roman"/>
        <w:b/>
        <w:sz w:val="28"/>
      </w:rPr>
      <w:t>Government Access to Electronic Device Location 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2146B"/>
    <w:multiLevelType w:val="hybridMultilevel"/>
    <w:tmpl w:val="1194A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C0333B1"/>
    <w:multiLevelType w:val="hybridMultilevel"/>
    <w:tmpl w:val="31BEA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CA4812"/>
    <w:multiLevelType w:val="hybridMultilevel"/>
    <w:tmpl w:val="1AD6D1F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2C4067"/>
    <w:rsid w:val="00254818"/>
    <w:rsid w:val="002C4067"/>
    <w:rsid w:val="003C3D0E"/>
    <w:rsid w:val="004353B7"/>
    <w:rsid w:val="005F003F"/>
    <w:rsid w:val="00850E15"/>
    <w:rsid w:val="008D51BA"/>
    <w:rsid w:val="00904709"/>
    <w:rsid w:val="0090515F"/>
    <w:rsid w:val="00AC17BF"/>
    <w:rsid w:val="00B97A8F"/>
    <w:rsid w:val="00C37E61"/>
    <w:rsid w:val="00C47EFE"/>
    <w:rsid w:val="00C912F5"/>
    <w:rsid w:val="00F10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4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4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067"/>
  </w:style>
  <w:style w:type="paragraph" w:styleId="Footer">
    <w:name w:val="footer"/>
    <w:basedOn w:val="Normal"/>
    <w:link w:val="FooterChar"/>
    <w:uiPriority w:val="99"/>
    <w:unhideWhenUsed/>
    <w:rsid w:val="002C4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067"/>
  </w:style>
  <w:style w:type="character" w:styleId="Strong">
    <w:name w:val="Strong"/>
    <w:basedOn w:val="DefaultParagraphFont"/>
    <w:uiPriority w:val="22"/>
    <w:qFormat/>
    <w:rsid w:val="002C4067"/>
    <w:rPr>
      <w:b/>
      <w:bCs/>
    </w:rPr>
  </w:style>
  <w:style w:type="paragraph" w:styleId="ListParagraph">
    <w:name w:val="List Paragraph"/>
    <w:basedOn w:val="Normal"/>
    <w:uiPriority w:val="34"/>
    <w:qFormat/>
    <w:rsid w:val="00B97A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DA874-E186-4E7F-AC71-CBBDEC38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2014-05-06T17:14:00Z</cp:lastPrinted>
  <dcterms:created xsi:type="dcterms:W3CDTF">2014-05-06T17:04:00Z</dcterms:created>
  <dcterms:modified xsi:type="dcterms:W3CDTF">2014-05-07T16:35:00Z</dcterms:modified>
</cp:coreProperties>
</file>