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26540" w14:textId="77777777" w:rsidR="00266C25" w:rsidRDefault="00266C25" w:rsidP="007D71B1">
      <w:pPr>
        <w:rPr>
          <w:rFonts w:ascii="Georgia" w:hAnsi="Georgia"/>
          <w:sz w:val="24"/>
          <w:szCs w:val="24"/>
        </w:rPr>
      </w:pPr>
    </w:p>
    <w:p w14:paraId="0E29FF66" w14:textId="77777777" w:rsidR="00266C25" w:rsidRDefault="00266C25" w:rsidP="007D71B1">
      <w:pPr>
        <w:rPr>
          <w:rFonts w:ascii="Georgia" w:hAnsi="Georgia"/>
          <w:sz w:val="24"/>
          <w:szCs w:val="24"/>
        </w:rPr>
      </w:pPr>
    </w:p>
    <w:p w14:paraId="0C2489D1" w14:textId="77777777" w:rsidR="002B3BCB" w:rsidRDefault="002B3BCB" w:rsidP="007D71B1">
      <w:pPr>
        <w:rPr>
          <w:rFonts w:ascii="Georgia" w:hAnsi="Georgia"/>
          <w:sz w:val="24"/>
          <w:szCs w:val="24"/>
        </w:rPr>
      </w:pPr>
    </w:p>
    <w:p w14:paraId="3C0B7ED3" w14:textId="77777777" w:rsidR="002B3BCB" w:rsidRDefault="002B3BCB" w:rsidP="007D71B1">
      <w:pPr>
        <w:rPr>
          <w:rFonts w:ascii="Georgia" w:hAnsi="Georgia"/>
          <w:sz w:val="24"/>
          <w:szCs w:val="24"/>
        </w:rPr>
      </w:pPr>
    </w:p>
    <w:p w14:paraId="3BA84214" w14:textId="368CE2E4" w:rsidR="007D71B1" w:rsidRPr="00C13DA8" w:rsidRDefault="00EC0E34" w:rsidP="007D71B1">
      <w:pPr>
        <w:rPr>
          <w:rFonts w:ascii="Georgia" w:hAnsi="Georgia"/>
          <w:sz w:val="24"/>
          <w:szCs w:val="24"/>
        </w:rPr>
      </w:pPr>
      <w:r w:rsidRPr="00C13DA8">
        <w:rPr>
          <w:rFonts w:ascii="Georgia" w:hAnsi="Georgia"/>
          <w:sz w:val="24"/>
          <w:szCs w:val="24"/>
        </w:rPr>
        <w:fldChar w:fldCharType="begin"/>
      </w:r>
      <w:r w:rsidRPr="00C13DA8">
        <w:rPr>
          <w:rFonts w:ascii="Georgia" w:hAnsi="Georgia"/>
          <w:sz w:val="24"/>
          <w:szCs w:val="24"/>
        </w:rPr>
        <w:instrText xml:space="preserve"> SAVEDATE  \@ "MMMM d, yyyy"  \* MERGEFORMAT </w:instrText>
      </w:r>
      <w:r w:rsidRPr="00C13DA8">
        <w:rPr>
          <w:rFonts w:ascii="Georgia" w:hAnsi="Georgia"/>
          <w:sz w:val="24"/>
          <w:szCs w:val="24"/>
        </w:rPr>
        <w:fldChar w:fldCharType="separate"/>
      </w:r>
      <w:r w:rsidR="007729EA">
        <w:rPr>
          <w:rFonts w:ascii="Georgia" w:hAnsi="Georgia"/>
          <w:noProof/>
          <w:sz w:val="24"/>
          <w:szCs w:val="24"/>
        </w:rPr>
        <w:t>March 2, 2022</w:t>
      </w:r>
      <w:r w:rsidRPr="00C13DA8">
        <w:rPr>
          <w:rFonts w:ascii="Georgia" w:hAnsi="Georgia"/>
          <w:sz w:val="24"/>
          <w:szCs w:val="24"/>
        </w:rPr>
        <w:fldChar w:fldCharType="end"/>
      </w:r>
    </w:p>
    <w:p w14:paraId="5D647222" w14:textId="4E4CB730" w:rsidR="007729EA" w:rsidRDefault="007729EA" w:rsidP="00187E81">
      <w:pPr>
        <w:spacing w:line="240" w:lineRule="auto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Minnesota House of Representatives</w:t>
      </w:r>
      <w:r>
        <w:rPr>
          <w:rFonts w:ascii="Georgia" w:hAnsi="Georgia"/>
          <w:b/>
          <w:bCs/>
          <w:sz w:val="24"/>
          <w:szCs w:val="24"/>
        </w:rPr>
        <w:br/>
      </w:r>
      <w:r w:rsidRPr="007729EA">
        <w:rPr>
          <w:rFonts w:ascii="Georgia" w:hAnsi="Georgia"/>
          <w:sz w:val="24"/>
          <w:szCs w:val="24"/>
        </w:rPr>
        <w:t>100 Rev. Dr. Martin Luther King Jr. Blvd.</w:t>
      </w:r>
      <w:r w:rsidRPr="007729EA">
        <w:rPr>
          <w:rFonts w:ascii="Georgia" w:hAnsi="Georgia"/>
          <w:sz w:val="24"/>
          <w:szCs w:val="24"/>
        </w:rPr>
        <w:br/>
        <w:t>St. Paul, MN 55155-1298</w:t>
      </w:r>
    </w:p>
    <w:p w14:paraId="246213BF" w14:textId="65680795" w:rsidR="007729EA" w:rsidRDefault="007729EA" w:rsidP="00187E81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Minnesota Senate</w:t>
      </w:r>
      <w:r>
        <w:rPr>
          <w:rFonts w:ascii="Georgia" w:hAnsi="Georgia"/>
          <w:b/>
          <w:bCs/>
          <w:sz w:val="24"/>
          <w:szCs w:val="24"/>
        </w:rPr>
        <w:br/>
      </w:r>
      <w:r w:rsidRPr="007729EA">
        <w:rPr>
          <w:rFonts w:ascii="Georgia" w:hAnsi="Georgia"/>
          <w:sz w:val="24"/>
          <w:szCs w:val="24"/>
        </w:rPr>
        <w:t>95 University Ave. W.</w:t>
      </w:r>
      <w:r w:rsidRPr="007729EA">
        <w:rPr>
          <w:rFonts w:ascii="Georgia" w:hAnsi="Georgia"/>
          <w:sz w:val="24"/>
          <w:szCs w:val="24"/>
        </w:rPr>
        <w:br/>
        <w:t>St. Paul, MN 55155-1606</w:t>
      </w:r>
    </w:p>
    <w:p w14:paraId="62F7C1F5" w14:textId="77777777" w:rsidR="007729EA" w:rsidRPr="007729EA" w:rsidRDefault="007729EA" w:rsidP="00187E81">
      <w:pPr>
        <w:spacing w:line="240" w:lineRule="auto"/>
        <w:rPr>
          <w:rFonts w:ascii="Georgia" w:hAnsi="Georgia"/>
          <w:b/>
          <w:bCs/>
          <w:sz w:val="24"/>
          <w:szCs w:val="24"/>
        </w:rPr>
      </w:pPr>
    </w:p>
    <w:p w14:paraId="4D06654B" w14:textId="75B08F90" w:rsidR="00D00CF6" w:rsidRPr="00C13DA8" w:rsidRDefault="00EC0E34" w:rsidP="009123AD">
      <w:pPr>
        <w:spacing w:after="100" w:afterAutospacing="1" w:line="240" w:lineRule="auto"/>
        <w:rPr>
          <w:rFonts w:ascii="Georgia" w:hAnsi="Georgia"/>
          <w:sz w:val="24"/>
          <w:szCs w:val="24"/>
        </w:rPr>
      </w:pPr>
      <w:r w:rsidRPr="00C13DA8">
        <w:rPr>
          <w:rFonts w:ascii="Georgia" w:hAnsi="Georgia"/>
          <w:sz w:val="24"/>
          <w:szCs w:val="24"/>
        </w:rPr>
        <w:tab/>
        <w:t xml:space="preserve">RE: </w:t>
      </w:r>
      <w:r w:rsidR="00D00CF6">
        <w:rPr>
          <w:rFonts w:ascii="Georgia" w:hAnsi="Georgia"/>
          <w:sz w:val="24"/>
          <w:szCs w:val="24"/>
        </w:rPr>
        <w:tab/>
      </w:r>
      <w:r w:rsidR="006366B8">
        <w:rPr>
          <w:rFonts w:ascii="Georgia" w:hAnsi="Georgia"/>
          <w:sz w:val="24"/>
          <w:szCs w:val="24"/>
        </w:rPr>
        <w:t>In Support of HF 3270</w:t>
      </w:r>
      <w:r w:rsidR="007729EA">
        <w:rPr>
          <w:rFonts w:ascii="Georgia" w:hAnsi="Georgia"/>
          <w:sz w:val="24"/>
          <w:szCs w:val="24"/>
        </w:rPr>
        <w:t>, SF 3088</w:t>
      </w:r>
    </w:p>
    <w:p w14:paraId="02C7546E" w14:textId="2A1734BD" w:rsidR="007D71B1" w:rsidRPr="00C13DA8" w:rsidRDefault="00EC0E34" w:rsidP="007D71B1">
      <w:pPr>
        <w:rPr>
          <w:rFonts w:ascii="Georgia" w:hAnsi="Georgia"/>
          <w:sz w:val="24"/>
          <w:szCs w:val="24"/>
        </w:rPr>
      </w:pPr>
      <w:r w:rsidRPr="00C13DA8">
        <w:rPr>
          <w:rFonts w:ascii="Georgia" w:hAnsi="Georgia"/>
          <w:sz w:val="24"/>
          <w:szCs w:val="24"/>
        </w:rPr>
        <w:t xml:space="preserve">Dear </w:t>
      </w:r>
      <w:r w:rsidR="007729EA">
        <w:rPr>
          <w:rFonts w:ascii="Georgia" w:hAnsi="Georgia"/>
          <w:sz w:val="24"/>
          <w:szCs w:val="24"/>
        </w:rPr>
        <w:t>Senators and Representatives</w:t>
      </w:r>
      <w:r w:rsidRPr="00C13DA8">
        <w:rPr>
          <w:rFonts w:ascii="Georgia" w:hAnsi="Georgia"/>
          <w:sz w:val="24"/>
          <w:szCs w:val="24"/>
        </w:rPr>
        <w:t>:</w:t>
      </w:r>
    </w:p>
    <w:p w14:paraId="65DC59E4" w14:textId="76E548FD" w:rsidR="00A02F99" w:rsidRDefault="005A2EBC" w:rsidP="007D71B1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We write in support of house and senate bills that eliminate civil rights exemptions targeting LGBTQ+ Minnesotans</w:t>
      </w:r>
      <w:r w:rsidR="00266C25">
        <w:rPr>
          <w:rFonts w:ascii="Georgia" w:hAnsi="Georgia"/>
          <w:sz w:val="24"/>
          <w:szCs w:val="24"/>
        </w:rPr>
        <w:t>.</w:t>
      </w:r>
    </w:p>
    <w:p w14:paraId="0332772D" w14:textId="77777777" w:rsidR="008F5C0A" w:rsidRDefault="005A2EBC" w:rsidP="008F5C0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HF 3270 and SF 3088 update the Minnesota Human Rights Acts’ protections based on sexual orientation and gender identity from the time these protections were originally passed in the 1990s. </w:t>
      </w:r>
      <w:r w:rsidR="008F5C0A">
        <w:rPr>
          <w:rFonts w:ascii="Georgia" w:hAnsi="Georgia"/>
          <w:sz w:val="24"/>
          <w:szCs w:val="24"/>
        </w:rPr>
        <w:t xml:space="preserve">Gender Justice Legal Director Jess Braverman and I wrote about the need to update the Minnesota Human Rights Act in the March/April 2020 edition of Hennepin Lawyer. </w:t>
      </w:r>
      <w:r w:rsidR="008F5C0A">
        <w:rPr>
          <w:rStyle w:val="FootnoteReference"/>
          <w:rFonts w:ascii="Georgia" w:hAnsi="Georgia"/>
          <w:sz w:val="24"/>
          <w:szCs w:val="24"/>
        </w:rPr>
        <w:footnoteReference w:id="1"/>
      </w:r>
    </w:p>
    <w:p w14:paraId="0F4C6E63" w14:textId="4A0CED50" w:rsidR="006C6831" w:rsidRDefault="00AD338B" w:rsidP="007D71B1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The Minnesota Human Rights Act provided groundbreaking protections for LGBTQ+ people. After a 20-year battle in the legislature, Minnesota was the first state to add these state-level protections to its human rights law in 1993. </w:t>
      </w:r>
      <w:r w:rsidR="006C6831">
        <w:rPr>
          <w:rFonts w:ascii="Georgia" w:hAnsi="Georgia"/>
          <w:sz w:val="24"/>
          <w:szCs w:val="24"/>
        </w:rPr>
        <w:t>At the time, champions for civil rights in the legislature made compromises with anti-gay legislators to reassure them that voting for civil rights for LGBTQ+ Minnesotans “was not an endorsement of homosexuality, but ‘an affirmation of the premise that all people have right[s].’”</w:t>
      </w:r>
      <w:r w:rsidR="006C6831">
        <w:rPr>
          <w:rStyle w:val="FootnoteReference"/>
          <w:rFonts w:ascii="Georgia" w:hAnsi="Georgia"/>
          <w:sz w:val="24"/>
          <w:szCs w:val="24"/>
        </w:rPr>
        <w:footnoteReference w:id="2"/>
      </w:r>
      <w:r>
        <w:rPr>
          <w:rFonts w:ascii="Georgia" w:hAnsi="Georgia"/>
          <w:sz w:val="24"/>
          <w:szCs w:val="24"/>
        </w:rPr>
        <w:t xml:space="preserve"> This bill would update protections to eliminate some of the most egregious and harmful compromises in the law.</w:t>
      </w:r>
    </w:p>
    <w:p w14:paraId="0B20B0E2" w14:textId="28C2982E" w:rsidR="006C6831" w:rsidRDefault="006C6831" w:rsidP="007D71B1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Among those compromises included exemptions that single out LGBTQ+ people for lesser protection</w:t>
      </w:r>
      <w:r w:rsidR="00AD338B">
        <w:rPr>
          <w:rFonts w:ascii="Georgia" w:hAnsi="Georgia"/>
          <w:sz w:val="24"/>
          <w:szCs w:val="24"/>
        </w:rPr>
        <w:t>s</w:t>
      </w:r>
      <w:r>
        <w:rPr>
          <w:rFonts w:ascii="Georgia" w:hAnsi="Georgia"/>
          <w:sz w:val="24"/>
          <w:szCs w:val="24"/>
        </w:rPr>
        <w:t>.</w:t>
      </w:r>
      <w:r w:rsidR="00AD338B">
        <w:rPr>
          <w:rFonts w:ascii="Georgia" w:hAnsi="Georgia"/>
          <w:sz w:val="24"/>
          <w:szCs w:val="24"/>
        </w:rPr>
        <w:t xml:space="preserve"> These exemptions are particularly insulting because they focus on </w:t>
      </w:r>
      <w:r w:rsidR="00AD338B">
        <w:rPr>
          <w:rFonts w:ascii="Georgia" w:hAnsi="Georgia"/>
          <w:sz w:val="24"/>
          <w:szCs w:val="24"/>
        </w:rPr>
        <w:lastRenderedPageBreak/>
        <w:t>youth-oriented contexts and housing, endorsing and reinforcing bigoted myths about sexual orientation.</w:t>
      </w:r>
      <w:r w:rsidR="008F5C0A">
        <w:rPr>
          <w:rFonts w:ascii="Georgia" w:hAnsi="Georgia"/>
          <w:sz w:val="24"/>
          <w:szCs w:val="24"/>
        </w:rPr>
        <w:t xml:space="preserve"> The overall effect </w:t>
      </w:r>
      <w:r w:rsidR="00B3089F">
        <w:rPr>
          <w:rFonts w:ascii="Georgia" w:hAnsi="Georgia"/>
          <w:sz w:val="24"/>
          <w:szCs w:val="24"/>
        </w:rPr>
        <w:t>of these discriminatory exclusions has been</w:t>
      </w:r>
      <w:r w:rsidR="008F5C0A">
        <w:rPr>
          <w:rFonts w:ascii="Georgia" w:hAnsi="Georgia"/>
          <w:sz w:val="24"/>
          <w:szCs w:val="24"/>
        </w:rPr>
        <w:t xml:space="preserve"> to suggest that the state of Minnesota thinks that it is a lot harder to tolerate LGBTQ+ people than other protected groups, so discrimination against LGBTQ+ people is acceptable in many more contexts.</w:t>
      </w:r>
      <w:r w:rsidR="00B3089F">
        <w:rPr>
          <w:rFonts w:ascii="Georgia" w:hAnsi="Georgia"/>
          <w:sz w:val="24"/>
          <w:szCs w:val="24"/>
        </w:rPr>
        <w:t xml:space="preserve"> The bill eliminates these exemptions.</w:t>
      </w:r>
    </w:p>
    <w:p w14:paraId="2F240974" w14:textId="35CB6FE8" w:rsidR="008F5C0A" w:rsidRDefault="008F5C0A" w:rsidP="007D71B1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This bill also eliminates </w:t>
      </w:r>
      <w:r w:rsidR="00B3089F">
        <w:rPr>
          <w:rFonts w:ascii="Georgia" w:hAnsi="Georgia"/>
          <w:sz w:val="24"/>
          <w:szCs w:val="24"/>
        </w:rPr>
        <w:t>the outrageous “Construction of Laws” section that rejects the idea that the State of Minnesota “condones homosexuality or bisexuality or any equivalent lifestyle.”</w:t>
      </w:r>
      <w:r w:rsidR="00B3089F">
        <w:rPr>
          <w:rStyle w:val="FootnoteReference"/>
          <w:rFonts w:ascii="Georgia" w:hAnsi="Georgia"/>
          <w:sz w:val="24"/>
          <w:szCs w:val="24"/>
        </w:rPr>
        <w:footnoteReference w:id="3"/>
      </w:r>
      <w:r w:rsidR="00B3089F">
        <w:rPr>
          <w:rFonts w:ascii="Georgia" w:hAnsi="Georgia"/>
          <w:sz w:val="24"/>
          <w:szCs w:val="24"/>
        </w:rPr>
        <w:t xml:space="preserve"> This kind of language has no place in a civil rights law, and its erasure is long overdue.</w:t>
      </w:r>
    </w:p>
    <w:p w14:paraId="6CE4C711" w14:textId="3636B41C" w:rsidR="00B3089F" w:rsidRDefault="00B3089F" w:rsidP="007D71B1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We would like to thank Representative Athena Hollins and Senator Karla Bigham for authoring and championing this long-needed update to our state’s groundbreaking civil rights law.</w:t>
      </w:r>
    </w:p>
    <w:p w14:paraId="74BCC016" w14:textId="79531474" w:rsidR="00266C25" w:rsidRDefault="00266C25" w:rsidP="007D71B1">
      <w:pPr>
        <w:rPr>
          <w:rFonts w:ascii="Georgia" w:hAnsi="Georgia"/>
          <w:sz w:val="24"/>
          <w:szCs w:val="24"/>
        </w:rPr>
      </w:pPr>
    </w:p>
    <w:p w14:paraId="5DA2F79D" w14:textId="51716F19" w:rsidR="00EC0E34" w:rsidRPr="00C13DA8" w:rsidRDefault="00EC0E34" w:rsidP="007D71B1">
      <w:pPr>
        <w:rPr>
          <w:rFonts w:ascii="Georgia" w:hAnsi="Georgia"/>
          <w:sz w:val="24"/>
          <w:szCs w:val="24"/>
        </w:rPr>
      </w:pPr>
      <w:r w:rsidRPr="00C13DA8">
        <w:rPr>
          <w:rFonts w:ascii="Georgia" w:hAnsi="Georgia"/>
          <w:sz w:val="24"/>
          <w:szCs w:val="24"/>
        </w:rPr>
        <w:t>Sincerely,</w:t>
      </w:r>
    </w:p>
    <w:p w14:paraId="2D51CDD6" w14:textId="345EE13D" w:rsidR="00EC0E34" w:rsidRPr="00C13DA8" w:rsidRDefault="00EC0E34" w:rsidP="00BF75DE">
      <w:pPr>
        <w:spacing w:line="240" w:lineRule="auto"/>
        <w:contextualSpacing/>
        <w:rPr>
          <w:rFonts w:ascii="Georgia" w:hAnsi="Georgia"/>
          <w:i/>
          <w:iCs/>
          <w:sz w:val="24"/>
          <w:szCs w:val="24"/>
        </w:rPr>
      </w:pPr>
      <w:r w:rsidRPr="00C13DA8">
        <w:rPr>
          <w:rFonts w:ascii="Georgia" w:hAnsi="Georgia"/>
          <w:i/>
          <w:iCs/>
          <w:sz w:val="24"/>
          <w:szCs w:val="24"/>
        </w:rPr>
        <w:t>/s/ Christy L. Hall</w:t>
      </w:r>
    </w:p>
    <w:p w14:paraId="36F3C2A5" w14:textId="58B525F0" w:rsidR="00EC0E34" w:rsidRPr="00C13DA8" w:rsidRDefault="00EC0E34" w:rsidP="007D71B1">
      <w:pPr>
        <w:rPr>
          <w:rFonts w:ascii="Georgia" w:hAnsi="Georgia"/>
          <w:sz w:val="24"/>
          <w:szCs w:val="24"/>
        </w:rPr>
      </w:pPr>
      <w:r w:rsidRPr="00C13DA8">
        <w:rPr>
          <w:rFonts w:ascii="Georgia" w:hAnsi="Georgia"/>
          <w:sz w:val="24"/>
          <w:szCs w:val="24"/>
        </w:rPr>
        <w:t>Christy L. Hall</w:t>
      </w:r>
      <w:r w:rsidR="00DB145C">
        <w:rPr>
          <w:rFonts w:ascii="Georgia" w:hAnsi="Georgia"/>
          <w:sz w:val="24"/>
          <w:szCs w:val="24"/>
        </w:rPr>
        <w:br/>
        <w:t>Senior Staff Attorney, Gender Justice</w:t>
      </w:r>
    </w:p>
    <w:sectPr w:rsidR="00EC0E34" w:rsidRPr="00C13DA8" w:rsidSect="00BB431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9F08A" w14:textId="77777777" w:rsidR="00DB18CB" w:rsidRDefault="00DB18CB" w:rsidP="005A7587">
      <w:pPr>
        <w:spacing w:after="0" w:line="240" w:lineRule="auto"/>
      </w:pPr>
      <w:r>
        <w:separator/>
      </w:r>
    </w:p>
  </w:endnote>
  <w:endnote w:type="continuationSeparator" w:id="0">
    <w:p w14:paraId="14604D4C" w14:textId="77777777" w:rsidR="00DB18CB" w:rsidRDefault="00DB18CB" w:rsidP="005A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K Grotesk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C9818" w14:textId="77777777" w:rsidR="00BB4319" w:rsidRPr="007D71B1" w:rsidRDefault="00BB4319" w:rsidP="00BB4319">
    <w:pPr>
      <w:pStyle w:val="Footer"/>
      <w:rPr>
        <w:rFonts w:ascii="HK Grotesk" w:hAnsi="HK Grotesk"/>
        <w:color w:val="18414C"/>
      </w:rPr>
    </w:pPr>
    <w:r w:rsidRPr="007D71B1">
      <w:rPr>
        <w:rFonts w:ascii="HK Grotesk" w:hAnsi="HK Grotesk"/>
        <w:color w:val="18414C"/>
      </w:rPr>
      <w:t>www.GenderJustice.us</w:t>
    </w:r>
  </w:p>
  <w:p w14:paraId="270F6CF4" w14:textId="1B0A470E" w:rsidR="00BB4319" w:rsidRPr="00BB4319" w:rsidRDefault="00BB4319">
    <w:pPr>
      <w:pStyle w:val="Footer"/>
      <w:rPr>
        <w:rFonts w:ascii="HK Grotesk" w:hAnsi="HK Grotesk"/>
        <w:color w:val="18414C"/>
      </w:rPr>
    </w:pPr>
    <w:r w:rsidRPr="007D71B1">
      <w:rPr>
        <w:rFonts w:ascii="HK Grotesk" w:hAnsi="HK Grotesk"/>
        <w:color w:val="18414C"/>
      </w:rPr>
      <w:t>@GenderJustice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022E5" w14:textId="77777777" w:rsidR="00DB18CB" w:rsidRDefault="00DB18CB" w:rsidP="005A7587">
      <w:pPr>
        <w:spacing w:after="0" w:line="240" w:lineRule="auto"/>
      </w:pPr>
      <w:r>
        <w:separator/>
      </w:r>
    </w:p>
  </w:footnote>
  <w:footnote w:type="continuationSeparator" w:id="0">
    <w:p w14:paraId="7F178556" w14:textId="77777777" w:rsidR="00DB18CB" w:rsidRDefault="00DB18CB" w:rsidP="005A7587">
      <w:pPr>
        <w:spacing w:after="0" w:line="240" w:lineRule="auto"/>
      </w:pPr>
      <w:r>
        <w:continuationSeparator/>
      </w:r>
    </w:p>
  </w:footnote>
  <w:footnote w:id="1">
    <w:p w14:paraId="5ED3AAFA" w14:textId="77777777" w:rsidR="008F5C0A" w:rsidRDefault="008F5C0A" w:rsidP="008F5C0A">
      <w:pPr>
        <w:pStyle w:val="FootnoteText"/>
      </w:pPr>
      <w:r>
        <w:rPr>
          <w:rStyle w:val="FootnoteReference"/>
        </w:rPr>
        <w:footnoteRef/>
      </w:r>
      <w:r>
        <w:t xml:space="preserve"> Braverman, Jess and Hall, Christy. Groundbreaking Minnesota Human Rights Act: In Need of Renovation. Hennepin Lawyer March/April 2020, 17.</w:t>
      </w:r>
    </w:p>
  </w:footnote>
  <w:footnote w:id="2">
    <w:p w14:paraId="633EFC02" w14:textId="5653E963" w:rsidR="006C6831" w:rsidRDefault="006C6831">
      <w:pPr>
        <w:pStyle w:val="FootnoteText"/>
      </w:pPr>
      <w:r>
        <w:rPr>
          <w:rStyle w:val="FootnoteReference"/>
        </w:rPr>
        <w:footnoteRef/>
      </w:r>
      <w:r>
        <w:t xml:space="preserve"> Preston, Joshua. Senator Allan Spear and the Minnesota Human Rights Act. Minnesota History Fall 2016, 76.</w:t>
      </w:r>
    </w:p>
  </w:footnote>
  <w:footnote w:id="3">
    <w:p w14:paraId="4B5D2F97" w14:textId="031C77EB" w:rsidR="00B3089F" w:rsidRDefault="00B3089F">
      <w:pPr>
        <w:pStyle w:val="FootnoteText"/>
      </w:pPr>
      <w:r>
        <w:rPr>
          <w:rStyle w:val="FootnoteReference"/>
        </w:rPr>
        <w:footnoteRef/>
      </w:r>
      <w:r>
        <w:t xml:space="preserve"> Minn. Stat. </w:t>
      </w:r>
      <w:r w:rsidRPr="00492DA7">
        <w:rPr>
          <w:rFonts w:ascii="Georgia" w:hAnsi="Georgia"/>
        </w:rPr>
        <w:t>§</w:t>
      </w:r>
      <w:r>
        <w:rPr>
          <w:rFonts w:ascii="Georgia" w:hAnsi="Georgia"/>
        </w:rPr>
        <w:t xml:space="preserve"> 363A.27.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4515B" w14:textId="6F57A747" w:rsidR="008C7D8B" w:rsidRDefault="008C7D8B" w:rsidP="008C7D8B">
    <w:pPr>
      <w:pStyle w:val="Header"/>
      <w:jc w:val="right"/>
    </w:pPr>
    <w:r>
      <w:fldChar w:fldCharType="begin"/>
    </w:r>
    <w:r>
      <w:instrText xml:space="preserve"> SAVEDATE  \@ "MMMM d, yyyy"  \* MERGEFORMAT </w:instrText>
    </w:r>
    <w:r>
      <w:fldChar w:fldCharType="separate"/>
    </w:r>
    <w:r w:rsidR="008F5C0A">
      <w:rPr>
        <w:noProof/>
      </w:rPr>
      <w:t>March 2, 2022</w:t>
    </w:r>
    <w:r>
      <w:fldChar w:fldCharType="end"/>
    </w:r>
  </w:p>
  <w:p w14:paraId="4B672461" w14:textId="354A3AD5" w:rsidR="008C7D8B" w:rsidRDefault="008C7D8B" w:rsidP="008C7D8B">
    <w:pPr>
      <w:pStyle w:val="Head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93306" w14:textId="63AFABDD" w:rsidR="00BB4319" w:rsidRPr="007D71B1" w:rsidRDefault="002C5D9B" w:rsidP="002C5D9B">
    <w:pPr>
      <w:pStyle w:val="Header"/>
      <w:jc w:val="right"/>
      <w:rPr>
        <w:color w:val="00A555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336895C" wp14:editId="0526A03F">
          <wp:simplePos x="0" y="0"/>
          <wp:positionH relativeFrom="margin">
            <wp:align>left</wp:align>
          </wp:positionH>
          <wp:positionV relativeFrom="paragraph">
            <wp:posOffset>171450</wp:posOffset>
          </wp:positionV>
          <wp:extent cx="2331085" cy="43878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108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4319" w:rsidRPr="007D71B1">
      <w:rPr>
        <w:color w:val="00A555"/>
      </w:rPr>
      <w:t>200 UNIVERSITY AVENUE WEST</w:t>
    </w:r>
  </w:p>
  <w:p w14:paraId="1C927D51" w14:textId="35DE3EAB" w:rsidR="002C5D9B" w:rsidRDefault="002C5D9B" w:rsidP="002C5D9B">
    <w:pPr>
      <w:pStyle w:val="Header"/>
      <w:tabs>
        <w:tab w:val="left" w:pos="737"/>
      </w:tabs>
      <w:jc w:val="right"/>
      <w:rPr>
        <w:color w:val="00A555"/>
      </w:rPr>
    </w:pPr>
    <w:r>
      <w:rPr>
        <w:color w:val="00A555"/>
      </w:rPr>
      <w:tab/>
    </w:r>
    <w:r>
      <w:rPr>
        <w:color w:val="00A555"/>
      </w:rPr>
      <w:tab/>
    </w:r>
    <w:r w:rsidR="00BB4319" w:rsidRPr="007D71B1">
      <w:rPr>
        <w:color w:val="00A555"/>
      </w:rPr>
      <w:t>SAINT PAUL, MN 55103</w:t>
    </w:r>
  </w:p>
  <w:p w14:paraId="7ABC58CB" w14:textId="77777777" w:rsidR="002C5D9B" w:rsidRDefault="002C5D9B" w:rsidP="002C5D9B">
    <w:pPr>
      <w:pStyle w:val="Header"/>
      <w:tabs>
        <w:tab w:val="left" w:pos="737"/>
      </w:tabs>
      <w:jc w:val="right"/>
      <w:rPr>
        <w:color w:val="00A555"/>
      </w:rPr>
    </w:pPr>
  </w:p>
  <w:p w14:paraId="7C70FB0D" w14:textId="79325FCF" w:rsidR="00BB4319" w:rsidRPr="007D71B1" w:rsidRDefault="00BB4319" w:rsidP="002C5D9B">
    <w:pPr>
      <w:pStyle w:val="Header"/>
      <w:tabs>
        <w:tab w:val="left" w:pos="737"/>
      </w:tabs>
      <w:jc w:val="right"/>
      <w:rPr>
        <w:color w:val="00A555"/>
      </w:rPr>
    </w:pPr>
    <w:r w:rsidRPr="007D71B1">
      <w:rPr>
        <w:color w:val="00A555"/>
      </w:rPr>
      <w:t>PHONE 651.789.2090</w:t>
    </w:r>
  </w:p>
  <w:p w14:paraId="70534149" w14:textId="06130410" w:rsidR="00BB4319" w:rsidRPr="00BB4319" w:rsidRDefault="00BB4319" w:rsidP="002C5D9B">
    <w:pPr>
      <w:pStyle w:val="Header"/>
      <w:jc w:val="right"/>
      <w:rPr>
        <w:color w:val="18414C"/>
      </w:rPr>
    </w:pPr>
    <w:r w:rsidRPr="007D71B1">
      <w:rPr>
        <w:color w:val="00A555"/>
      </w:rPr>
      <w:t>FAX 651.789.2093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587"/>
    <w:rsid w:val="00002B50"/>
    <w:rsid w:val="00050283"/>
    <w:rsid w:val="0013695B"/>
    <w:rsid w:val="0017696A"/>
    <w:rsid w:val="00187E81"/>
    <w:rsid w:val="001C6999"/>
    <w:rsid w:val="00221E7C"/>
    <w:rsid w:val="0023358B"/>
    <w:rsid w:val="00266C25"/>
    <w:rsid w:val="00273D79"/>
    <w:rsid w:val="002A0CF4"/>
    <w:rsid w:val="002B0E6E"/>
    <w:rsid w:val="002B3BCB"/>
    <w:rsid w:val="002C5D9B"/>
    <w:rsid w:val="002C5E36"/>
    <w:rsid w:val="002F1C3B"/>
    <w:rsid w:val="00374279"/>
    <w:rsid w:val="00377C0D"/>
    <w:rsid w:val="00384963"/>
    <w:rsid w:val="003A00C4"/>
    <w:rsid w:val="003B0C7A"/>
    <w:rsid w:val="003B3F9F"/>
    <w:rsid w:val="003D26E2"/>
    <w:rsid w:val="003D518B"/>
    <w:rsid w:val="003D64CA"/>
    <w:rsid w:val="003E759E"/>
    <w:rsid w:val="00410F28"/>
    <w:rsid w:val="004339E8"/>
    <w:rsid w:val="00437A92"/>
    <w:rsid w:val="00445EC9"/>
    <w:rsid w:val="004509B2"/>
    <w:rsid w:val="0048214E"/>
    <w:rsid w:val="004C03FF"/>
    <w:rsid w:val="00546A9B"/>
    <w:rsid w:val="005564D9"/>
    <w:rsid w:val="00591C8E"/>
    <w:rsid w:val="005A2EBC"/>
    <w:rsid w:val="005A7587"/>
    <w:rsid w:val="00602BB1"/>
    <w:rsid w:val="006078A5"/>
    <w:rsid w:val="006366B8"/>
    <w:rsid w:val="006460BD"/>
    <w:rsid w:val="006B1D6C"/>
    <w:rsid w:val="006C36E2"/>
    <w:rsid w:val="006C6831"/>
    <w:rsid w:val="006C6C2A"/>
    <w:rsid w:val="00704000"/>
    <w:rsid w:val="0070619E"/>
    <w:rsid w:val="00731F33"/>
    <w:rsid w:val="00760F7D"/>
    <w:rsid w:val="007729EA"/>
    <w:rsid w:val="007736F6"/>
    <w:rsid w:val="007B0CBB"/>
    <w:rsid w:val="007D71B1"/>
    <w:rsid w:val="008A06D9"/>
    <w:rsid w:val="008A72BC"/>
    <w:rsid w:val="008C26CB"/>
    <w:rsid w:val="008C7D8B"/>
    <w:rsid w:val="008D2C47"/>
    <w:rsid w:val="008E6162"/>
    <w:rsid w:val="008F5C0A"/>
    <w:rsid w:val="00900B82"/>
    <w:rsid w:val="009123AD"/>
    <w:rsid w:val="00936CDA"/>
    <w:rsid w:val="0095622E"/>
    <w:rsid w:val="00973D01"/>
    <w:rsid w:val="00A01506"/>
    <w:rsid w:val="00A02116"/>
    <w:rsid w:val="00A02F99"/>
    <w:rsid w:val="00A11CF9"/>
    <w:rsid w:val="00A41E23"/>
    <w:rsid w:val="00A90866"/>
    <w:rsid w:val="00AD338B"/>
    <w:rsid w:val="00AD5174"/>
    <w:rsid w:val="00AF14C2"/>
    <w:rsid w:val="00AF2E0E"/>
    <w:rsid w:val="00B03E37"/>
    <w:rsid w:val="00B0484E"/>
    <w:rsid w:val="00B139B8"/>
    <w:rsid w:val="00B15EE6"/>
    <w:rsid w:val="00B3089F"/>
    <w:rsid w:val="00BB4319"/>
    <w:rsid w:val="00BC1867"/>
    <w:rsid w:val="00BF5359"/>
    <w:rsid w:val="00BF75DE"/>
    <w:rsid w:val="00C10DA2"/>
    <w:rsid w:val="00C13DA8"/>
    <w:rsid w:val="00C35E8F"/>
    <w:rsid w:val="00C60F13"/>
    <w:rsid w:val="00C9425E"/>
    <w:rsid w:val="00CD7FC3"/>
    <w:rsid w:val="00CF6770"/>
    <w:rsid w:val="00D00CF6"/>
    <w:rsid w:val="00D26816"/>
    <w:rsid w:val="00D4083B"/>
    <w:rsid w:val="00D56CCA"/>
    <w:rsid w:val="00D574A6"/>
    <w:rsid w:val="00D667B3"/>
    <w:rsid w:val="00D75944"/>
    <w:rsid w:val="00D80A17"/>
    <w:rsid w:val="00DB145C"/>
    <w:rsid w:val="00DB18CB"/>
    <w:rsid w:val="00DC657E"/>
    <w:rsid w:val="00DE4698"/>
    <w:rsid w:val="00DF3172"/>
    <w:rsid w:val="00E17DA8"/>
    <w:rsid w:val="00E96021"/>
    <w:rsid w:val="00EC0E34"/>
    <w:rsid w:val="00EF50B6"/>
    <w:rsid w:val="00F364AB"/>
    <w:rsid w:val="00F67A62"/>
    <w:rsid w:val="00FB1934"/>
    <w:rsid w:val="00FE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FDB2F"/>
  <w15:chartTrackingRefBased/>
  <w15:docId w15:val="{607D5AF8-E23F-48EE-84E1-7DBBC855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7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587"/>
  </w:style>
  <w:style w:type="paragraph" w:styleId="Footer">
    <w:name w:val="footer"/>
    <w:basedOn w:val="Normal"/>
    <w:link w:val="FooterChar"/>
    <w:uiPriority w:val="99"/>
    <w:unhideWhenUsed/>
    <w:rsid w:val="005A7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587"/>
  </w:style>
  <w:style w:type="character" w:styleId="Hyperlink">
    <w:name w:val="Hyperlink"/>
    <w:basedOn w:val="DefaultParagraphFont"/>
    <w:uiPriority w:val="99"/>
    <w:unhideWhenUsed/>
    <w:rsid w:val="007D71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71B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C0E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0E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0E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0E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0E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E34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683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683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68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C16C1-2A5B-4C08-B534-F056645B2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Shea</dc:creator>
  <cp:keywords/>
  <dc:description/>
  <cp:lastModifiedBy>Christy Hall</cp:lastModifiedBy>
  <cp:revision>4</cp:revision>
  <cp:lastPrinted>2021-01-26T19:38:00Z</cp:lastPrinted>
  <dcterms:created xsi:type="dcterms:W3CDTF">2022-03-03T01:46:00Z</dcterms:created>
  <dcterms:modified xsi:type="dcterms:W3CDTF">2022-03-03T02:15:00Z</dcterms:modified>
</cp:coreProperties>
</file>