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24E" w:rsidRDefault="00872B67" w:rsidP="000F424E">
      <w:pPr>
        <w:pStyle w:val="BlockText"/>
        <w:spacing w:before="0"/>
        <w:jc w:val="left"/>
        <w:rPr>
          <w:rFonts w:ascii="Times New Roman" w:hAnsi="Times New Roman" w:cs="Times New Roman"/>
          <w:b/>
          <w:i/>
          <w:sz w:val="22"/>
        </w:rPr>
      </w:pPr>
      <w:bookmarkStart w:id="0" w:name="_GoBack"/>
      <w:bookmarkEnd w:id="0"/>
      <w:r>
        <w:rPr>
          <w:rFonts w:ascii="Times New Roman" w:hAnsi="Times New Roman" w:cs="Times New Roman"/>
          <w:sz w:val="22"/>
        </w:rPr>
        <w:t>February 7</w:t>
      </w:r>
      <w:r w:rsidR="0025704E">
        <w:rPr>
          <w:rFonts w:ascii="Times New Roman" w:hAnsi="Times New Roman" w:cs="Times New Roman"/>
          <w:sz w:val="22"/>
        </w:rPr>
        <w:t>, 2017</w:t>
      </w:r>
      <w:r w:rsidR="006C635A" w:rsidRPr="005F2B09">
        <w:rPr>
          <w:rFonts w:ascii="Times New Roman" w:hAnsi="Times New Roman" w:cs="Times New Roman"/>
          <w:sz w:val="22"/>
        </w:rPr>
        <w:t xml:space="preserve"> </w:t>
      </w:r>
      <w:r w:rsidR="000F424E">
        <w:rPr>
          <w:rFonts w:ascii="Times New Roman" w:hAnsi="Times New Roman" w:cs="Times New Roman"/>
          <w:sz w:val="22"/>
        </w:rPr>
        <w:tab/>
      </w:r>
      <w:r w:rsidR="000F424E">
        <w:rPr>
          <w:rFonts w:ascii="Times New Roman" w:hAnsi="Times New Roman" w:cs="Times New Roman"/>
          <w:sz w:val="22"/>
        </w:rPr>
        <w:tab/>
      </w:r>
      <w:r w:rsidR="000F424E">
        <w:rPr>
          <w:rFonts w:ascii="Times New Roman" w:hAnsi="Times New Roman" w:cs="Times New Roman"/>
          <w:sz w:val="22"/>
        </w:rPr>
        <w:tab/>
      </w:r>
      <w:r w:rsidR="000F424E">
        <w:rPr>
          <w:rFonts w:ascii="Times New Roman" w:hAnsi="Times New Roman" w:cs="Times New Roman"/>
          <w:sz w:val="22"/>
        </w:rPr>
        <w:tab/>
      </w:r>
      <w:r w:rsidR="000F424E">
        <w:rPr>
          <w:rFonts w:ascii="Times New Roman" w:hAnsi="Times New Roman" w:cs="Times New Roman"/>
          <w:sz w:val="22"/>
        </w:rPr>
        <w:tab/>
      </w:r>
      <w:r w:rsidR="000F424E">
        <w:rPr>
          <w:rFonts w:ascii="Times New Roman" w:hAnsi="Times New Roman" w:cs="Times New Roman"/>
          <w:sz w:val="22"/>
        </w:rPr>
        <w:tab/>
      </w:r>
      <w:r w:rsidR="000F424E">
        <w:rPr>
          <w:rFonts w:ascii="Times New Roman" w:hAnsi="Times New Roman" w:cs="Times New Roman"/>
          <w:sz w:val="22"/>
        </w:rPr>
        <w:tab/>
      </w:r>
      <w:r w:rsidR="000F424E">
        <w:rPr>
          <w:rFonts w:ascii="Times New Roman" w:hAnsi="Times New Roman" w:cs="Times New Roman"/>
          <w:sz w:val="22"/>
        </w:rPr>
        <w:tab/>
      </w:r>
      <w:r w:rsidR="000F424E">
        <w:rPr>
          <w:rFonts w:ascii="Times New Roman" w:hAnsi="Times New Roman" w:cs="Times New Roman"/>
          <w:sz w:val="22"/>
        </w:rPr>
        <w:tab/>
      </w:r>
      <w:r w:rsidR="000F424E">
        <w:rPr>
          <w:rFonts w:ascii="Times New Roman" w:hAnsi="Times New Roman" w:cs="Times New Roman"/>
          <w:b/>
          <w:i/>
          <w:sz w:val="22"/>
        </w:rPr>
        <w:t>Via Email Only</w:t>
      </w:r>
    </w:p>
    <w:p w:rsidR="00121C30" w:rsidRDefault="00121C30" w:rsidP="006D0D0A">
      <w:pPr>
        <w:pStyle w:val="BlockText"/>
        <w:spacing w:before="0"/>
        <w:jc w:val="left"/>
        <w:rPr>
          <w:rFonts w:ascii="Times New Roman" w:hAnsi="Times New Roman" w:cs="Times New Roman"/>
          <w:sz w:val="22"/>
        </w:rPr>
      </w:pPr>
    </w:p>
    <w:p w:rsidR="00181955" w:rsidRDefault="00181955" w:rsidP="006D0D0A">
      <w:pPr>
        <w:pStyle w:val="BlockText"/>
        <w:spacing w:before="0"/>
        <w:jc w:val="left"/>
        <w:rPr>
          <w:rFonts w:ascii="Times New Roman" w:hAnsi="Times New Roman" w:cs="Times New Roman"/>
          <w:sz w:val="22"/>
        </w:rPr>
      </w:pPr>
    </w:p>
    <w:p w:rsidR="00665C88" w:rsidRPr="005F2B09" w:rsidRDefault="00665C88" w:rsidP="006D0D0A">
      <w:pPr>
        <w:pStyle w:val="BlockText"/>
        <w:spacing w:before="0"/>
        <w:jc w:val="left"/>
        <w:rPr>
          <w:rFonts w:ascii="Times New Roman" w:hAnsi="Times New Roman" w:cs="Times New Roman"/>
          <w:sz w:val="22"/>
        </w:rPr>
        <w:sectPr w:rsidR="00665C88" w:rsidRPr="005F2B09" w:rsidSect="00311F92">
          <w:footerReference w:type="default" r:id="rId8"/>
          <w:headerReference w:type="first" r:id="rId9"/>
          <w:pgSz w:w="12240" w:h="15840"/>
          <w:pgMar w:top="1440" w:right="1440" w:bottom="1440" w:left="1440" w:header="360" w:footer="0" w:gutter="0"/>
          <w:cols w:space="720"/>
          <w:titlePg/>
          <w:docGrid w:linePitch="360"/>
        </w:sectPr>
      </w:pPr>
    </w:p>
    <w:p w:rsidR="00121C30" w:rsidRPr="00121C30" w:rsidRDefault="00121C30" w:rsidP="00121C30">
      <w:pPr>
        <w:spacing w:after="0" w:line="240" w:lineRule="auto"/>
        <w:rPr>
          <w:rFonts w:ascii="Times New Roman" w:hAnsi="Times New Roman"/>
        </w:rPr>
      </w:pPr>
      <w:r w:rsidRPr="00121C30">
        <w:rPr>
          <w:rFonts w:ascii="Times New Roman" w:hAnsi="Times New Roman"/>
        </w:rPr>
        <w:t xml:space="preserve">The Honorable </w:t>
      </w:r>
      <w:r w:rsidR="00182566">
        <w:rPr>
          <w:rFonts w:ascii="Times New Roman" w:hAnsi="Times New Roman"/>
        </w:rPr>
        <w:t>Paul Torkelson</w:t>
      </w:r>
      <w:r w:rsidRPr="00121C30">
        <w:rPr>
          <w:rFonts w:ascii="Times New Roman" w:hAnsi="Times New Roman"/>
        </w:rPr>
        <w:t xml:space="preserve">, Chair </w:t>
      </w:r>
    </w:p>
    <w:p w:rsidR="00726B23" w:rsidRPr="00121C30" w:rsidRDefault="00121C30" w:rsidP="00121C30">
      <w:pPr>
        <w:spacing w:after="0" w:line="240" w:lineRule="auto"/>
        <w:rPr>
          <w:rFonts w:ascii="Times New Roman" w:hAnsi="Times New Roman"/>
        </w:rPr>
      </w:pPr>
      <w:r w:rsidRPr="00121C30">
        <w:rPr>
          <w:rFonts w:ascii="Times New Roman" w:hAnsi="Times New Roman"/>
        </w:rPr>
        <w:t>House Transportation Finance Committee</w:t>
      </w:r>
    </w:p>
    <w:p w:rsidR="00726B23" w:rsidRDefault="00DE6C72" w:rsidP="00121C30">
      <w:pPr>
        <w:spacing w:after="0" w:line="240" w:lineRule="auto"/>
        <w:rPr>
          <w:rFonts w:ascii="Times New Roman" w:hAnsi="Times New Roman"/>
        </w:rPr>
      </w:pPr>
      <w:r>
        <w:rPr>
          <w:rFonts w:ascii="Times New Roman" w:hAnsi="Times New Roman"/>
        </w:rPr>
        <w:t>381</w:t>
      </w:r>
      <w:r w:rsidR="00121C30" w:rsidRPr="00121C30">
        <w:rPr>
          <w:rFonts w:ascii="Times New Roman" w:hAnsi="Times New Roman"/>
        </w:rPr>
        <w:t xml:space="preserve"> State Office Building</w:t>
      </w:r>
    </w:p>
    <w:p w:rsidR="00121C30" w:rsidRDefault="00121C30" w:rsidP="00121C30">
      <w:pPr>
        <w:spacing w:after="0" w:line="240" w:lineRule="auto"/>
        <w:rPr>
          <w:rFonts w:ascii="Times New Roman" w:hAnsi="Times New Roman"/>
        </w:rPr>
      </w:pPr>
      <w:r w:rsidRPr="00121C30">
        <w:rPr>
          <w:rFonts w:ascii="Times New Roman" w:hAnsi="Times New Roman"/>
        </w:rPr>
        <w:t>Saint Paul, MN 55155</w:t>
      </w:r>
    </w:p>
    <w:p w:rsidR="00726B23" w:rsidRDefault="00726B23" w:rsidP="00121C30">
      <w:pPr>
        <w:spacing w:after="0" w:line="240" w:lineRule="auto"/>
        <w:rPr>
          <w:rFonts w:ascii="Times New Roman" w:hAnsi="Times New Roman"/>
        </w:rPr>
        <w:sectPr w:rsidR="00726B23" w:rsidSect="00726B23">
          <w:type w:val="continuous"/>
          <w:pgSz w:w="12240" w:h="15840"/>
          <w:pgMar w:top="1440" w:right="630" w:bottom="1440" w:left="1440" w:header="360" w:footer="0" w:gutter="0"/>
          <w:cols w:space="90"/>
          <w:titlePg/>
          <w:docGrid w:linePitch="360"/>
        </w:sectPr>
      </w:pPr>
    </w:p>
    <w:p w:rsidR="00726B23" w:rsidRDefault="00726B23" w:rsidP="00121C30">
      <w:pPr>
        <w:spacing w:after="0" w:line="240" w:lineRule="auto"/>
        <w:rPr>
          <w:rFonts w:ascii="Times New Roman" w:hAnsi="Times New Roman"/>
        </w:rPr>
      </w:pPr>
    </w:p>
    <w:p w:rsidR="00726B23" w:rsidRPr="00121C30" w:rsidRDefault="00726B23" w:rsidP="00121C30">
      <w:pPr>
        <w:spacing w:after="0" w:line="240" w:lineRule="auto"/>
        <w:rPr>
          <w:rFonts w:ascii="Times New Roman" w:hAnsi="Times New Roman"/>
        </w:rPr>
      </w:pPr>
    </w:p>
    <w:p w:rsidR="00121C30" w:rsidRPr="00121C30" w:rsidRDefault="00121C30" w:rsidP="00121C30">
      <w:pPr>
        <w:spacing w:after="0" w:line="240" w:lineRule="auto"/>
        <w:rPr>
          <w:rFonts w:ascii="Times New Roman" w:hAnsi="Times New Roman"/>
        </w:rPr>
      </w:pPr>
      <w:r w:rsidRPr="00121C30">
        <w:rPr>
          <w:rFonts w:ascii="Times New Roman" w:hAnsi="Times New Roman"/>
        </w:rPr>
        <w:t> </w:t>
      </w:r>
    </w:p>
    <w:p w:rsidR="00182566" w:rsidRPr="00121C30" w:rsidRDefault="00182566" w:rsidP="00121C30">
      <w:pPr>
        <w:spacing w:after="0" w:line="240" w:lineRule="auto"/>
        <w:rPr>
          <w:rFonts w:ascii="Times New Roman" w:hAnsi="Times New Roman"/>
        </w:rPr>
      </w:pPr>
    </w:p>
    <w:p w:rsidR="00B62FC1" w:rsidRPr="005F2B09" w:rsidRDefault="00B62FC1" w:rsidP="006D0D0A">
      <w:pPr>
        <w:pStyle w:val="BlockText"/>
        <w:spacing w:before="0"/>
        <w:jc w:val="left"/>
        <w:rPr>
          <w:rFonts w:ascii="Times New Roman" w:hAnsi="Times New Roman" w:cs="Times New Roman"/>
          <w:sz w:val="22"/>
        </w:rPr>
        <w:sectPr w:rsidR="00B62FC1" w:rsidRPr="005F2B09" w:rsidSect="006D0D0A">
          <w:type w:val="continuous"/>
          <w:pgSz w:w="12240" w:h="15840"/>
          <w:pgMar w:top="1440" w:right="630" w:bottom="1440" w:left="1440" w:header="360" w:footer="0" w:gutter="0"/>
          <w:cols w:num="2" w:space="90"/>
          <w:titlePg/>
          <w:docGrid w:linePitch="360"/>
        </w:sectPr>
      </w:pPr>
    </w:p>
    <w:p w:rsidR="00726B23" w:rsidRPr="00B0051E" w:rsidRDefault="00B55163" w:rsidP="00B4375E">
      <w:pPr>
        <w:pStyle w:val="BlockText"/>
        <w:spacing w:before="0"/>
        <w:jc w:val="left"/>
        <w:rPr>
          <w:rFonts w:ascii="Times New Roman" w:hAnsi="Times New Roman" w:cs="Times New Roman"/>
          <w:sz w:val="22"/>
        </w:rPr>
      </w:pPr>
      <w:r>
        <w:rPr>
          <w:rFonts w:ascii="Times New Roman" w:hAnsi="Times New Roman" w:cs="Times New Roman"/>
          <w:sz w:val="22"/>
        </w:rPr>
        <w:tab/>
        <w:t xml:space="preserve">     </w:t>
      </w:r>
      <w:r w:rsidR="00B4375E" w:rsidRPr="00B0051E">
        <w:rPr>
          <w:rFonts w:ascii="Times New Roman" w:hAnsi="Times New Roman" w:cs="Times New Roman"/>
          <w:sz w:val="22"/>
        </w:rPr>
        <w:t xml:space="preserve">Dear </w:t>
      </w:r>
      <w:r w:rsidR="00726B23" w:rsidRPr="00B0051E">
        <w:rPr>
          <w:rFonts w:ascii="Times New Roman" w:hAnsi="Times New Roman" w:cs="Times New Roman"/>
          <w:sz w:val="22"/>
        </w:rPr>
        <w:t>Chair Torkelson</w:t>
      </w:r>
      <w:r w:rsidR="00B4375E" w:rsidRPr="00B0051E">
        <w:rPr>
          <w:rFonts w:ascii="Times New Roman" w:hAnsi="Times New Roman" w:cs="Times New Roman"/>
          <w:sz w:val="22"/>
        </w:rPr>
        <w:t>:</w:t>
      </w:r>
    </w:p>
    <w:p w:rsidR="00D129B4" w:rsidRPr="00B0051E" w:rsidRDefault="00872B67" w:rsidP="00872B67">
      <w:pPr>
        <w:pStyle w:val="Body-Text"/>
        <w:ind w:left="360" w:firstLine="0"/>
      </w:pPr>
      <w:r w:rsidRPr="00B0051E">
        <w:t>Here is the information you requested in your January 25 letter.</w:t>
      </w:r>
    </w:p>
    <w:p w:rsidR="00872B67" w:rsidRPr="00080455" w:rsidRDefault="00872B67" w:rsidP="00872B67">
      <w:pPr>
        <w:pStyle w:val="Body-Text"/>
        <w:numPr>
          <w:ilvl w:val="0"/>
          <w:numId w:val="12"/>
        </w:numPr>
        <w:rPr>
          <w:b/>
        </w:rPr>
      </w:pPr>
      <w:r w:rsidRPr="00080455">
        <w:rPr>
          <w:b/>
        </w:rPr>
        <w:t>Program and Budget Activity Detail</w:t>
      </w:r>
    </w:p>
    <w:p w:rsidR="00872B67" w:rsidRPr="00080455" w:rsidRDefault="00872B67" w:rsidP="00872B67">
      <w:pPr>
        <w:pStyle w:val="ListParagraph"/>
        <w:spacing w:after="0" w:line="240" w:lineRule="auto"/>
        <w:ind w:left="1080"/>
        <w:rPr>
          <w:rFonts w:ascii="Times New Roman" w:eastAsia="Times New Roman" w:hAnsi="Times New Roman"/>
          <w:b/>
        </w:rPr>
      </w:pPr>
      <w:r w:rsidRPr="00080455">
        <w:rPr>
          <w:rFonts w:ascii="Times New Roman" w:eastAsia="Times New Roman" w:hAnsi="Times New Roman"/>
          <w:b/>
        </w:rPr>
        <w:t>A detailed explanation of current expenditures, for each program, budget activity and fund. Please provide FY 2016-17 actual and expected expenditures, broken down by fund and object code, with brief explanations as needed.</w:t>
      </w:r>
    </w:p>
    <w:p w:rsidR="002C2B8C" w:rsidRDefault="002C2B8C" w:rsidP="002C2B8C">
      <w:pPr>
        <w:spacing w:after="0" w:line="240" w:lineRule="auto"/>
        <w:rPr>
          <w:rFonts w:ascii="Times New Roman" w:eastAsia="Times New Roman" w:hAnsi="Times New Roman"/>
        </w:rPr>
      </w:pPr>
    </w:p>
    <w:p w:rsidR="002C2B8C" w:rsidRPr="002C2B8C" w:rsidRDefault="002C2B8C" w:rsidP="002C2B8C">
      <w:pPr>
        <w:spacing w:after="0" w:line="240" w:lineRule="auto"/>
        <w:rPr>
          <w:rFonts w:ascii="Times New Roman" w:eastAsia="Times New Roman" w:hAnsi="Times New Roman"/>
        </w:rPr>
      </w:pPr>
      <w:r>
        <w:rPr>
          <w:rFonts w:ascii="Times New Roman" w:eastAsia="Times New Roman" w:hAnsi="Times New Roman"/>
        </w:rPr>
        <w:t>This information is available</w:t>
      </w:r>
      <w:r w:rsidR="001C487B">
        <w:rPr>
          <w:rFonts w:ascii="Times New Roman" w:eastAsia="Times New Roman" w:hAnsi="Times New Roman"/>
        </w:rPr>
        <w:t xml:space="preserve"> beginning on page 4</w:t>
      </w:r>
      <w:r>
        <w:rPr>
          <w:rFonts w:ascii="Times New Roman" w:eastAsia="Times New Roman" w:hAnsi="Times New Roman"/>
        </w:rPr>
        <w:t xml:space="preserve"> in Governor’ Dayton’s budget recommendations at </w:t>
      </w:r>
      <w:hyperlink r:id="rId10" w:history="1">
        <w:r w:rsidRPr="001B43FC">
          <w:rPr>
            <w:rStyle w:val="Hyperlink"/>
            <w:rFonts w:ascii="Times New Roman" w:eastAsia="Times New Roman" w:hAnsi="Times New Roman"/>
          </w:rPr>
          <w:t>https://mn.gov/mmb-stat/documents/budget/2018-19-biennial-budget-books/governors-recommendations-january-2017/transportation-department.pdf</w:t>
        </w:r>
      </w:hyperlink>
      <w:r>
        <w:rPr>
          <w:rFonts w:ascii="Times New Roman" w:eastAsia="Times New Roman" w:hAnsi="Times New Roman"/>
        </w:rPr>
        <w:t xml:space="preserve"> </w:t>
      </w:r>
    </w:p>
    <w:p w:rsidR="002C2B8C" w:rsidRPr="002C2B8C" w:rsidRDefault="002C2B8C" w:rsidP="002C2B8C">
      <w:pPr>
        <w:spacing w:after="0" w:line="240" w:lineRule="auto"/>
        <w:rPr>
          <w:rFonts w:ascii="Times New Roman" w:eastAsia="Times New Roman" w:hAnsi="Times New Roman"/>
          <w:b/>
        </w:rPr>
      </w:pPr>
    </w:p>
    <w:p w:rsidR="00872B67" w:rsidRPr="00080455" w:rsidRDefault="00872B67" w:rsidP="00872B67">
      <w:pPr>
        <w:pStyle w:val="ListParagraph"/>
        <w:numPr>
          <w:ilvl w:val="0"/>
          <w:numId w:val="13"/>
        </w:numPr>
        <w:spacing w:after="0" w:line="240" w:lineRule="auto"/>
        <w:rPr>
          <w:rFonts w:ascii="Times New Roman" w:eastAsia="Times New Roman" w:hAnsi="Times New Roman"/>
          <w:b/>
        </w:rPr>
      </w:pPr>
      <w:r w:rsidRPr="00080455">
        <w:rPr>
          <w:rFonts w:ascii="Times New Roman" w:eastAsia="Times New Roman" w:hAnsi="Times New Roman"/>
          <w:b/>
        </w:rPr>
        <w:t>List of all Special Revenue Funds or Fee-Dedicated Accounts, including the legal citation and purpose of the dedicated funds.</w:t>
      </w:r>
    </w:p>
    <w:p w:rsidR="002C2B8C" w:rsidRDefault="002C2B8C" w:rsidP="002C2B8C">
      <w:pPr>
        <w:pStyle w:val="ListParagraph"/>
        <w:spacing w:after="0" w:line="240" w:lineRule="auto"/>
        <w:ind w:left="1080"/>
        <w:rPr>
          <w:rFonts w:ascii="Times New Roman" w:eastAsia="Times New Roman" w:hAnsi="Times New Roman"/>
        </w:rPr>
      </w:pPr>
    </w:p>
    <w:p w:rsidR="002C2B8C" w:rsidRPr="002C2B8C" w:rsidRDefault="002C2B8C" w:rsidP="002C2B8C">
      <w:pPr>
        <w:spacing w:after="0" w:line="240" w:lineRule="auto"/>
        <w:rPr>
          <w:rFonts w:ascii="Times New Roman" w:eastAsia="Times New Roman" w:hAnsi="Times New Roman"/>
        </w:rPr>
      </w:pPr>
      <w:r w:rsidRPr="002C2B8C">
        <w:rPr>
          <w:rFonts w:ascii="Times New Roman" w:eastAsia="Times New Roman" w:hAnsi="Times New Roman"/>
        </w:rPr>
        <w:t xml:space="preserve">This information is available </w:t>
      </w:r>
      <w:r w:rsidR="001C487B">
        <w:rPr>
          <w:rFonts w:ascii="Times New Roman" w:eastAsia="Times New Roman" w:hAnsi="Times New Roman"/>
        </w:rPr>
        <w:t xml:space="preserve">beginning on page 6 </w:t>
      </w:r>
      <w:r w:rsidRPr="002C2B8C">
        <w:rPr>
          <w:rFonts w:ascii="Times New Roman" w:eastAsia="Times New Roman" w:hAnsi="Times New Roman"/>
        </w:rPr>
        <w:t xml:space="preserve">in Governor’ Dayton’s budget recommendations at </w:t>
      </w:r>
      <w:hyperlink r:id="rId11" w:history="1">
        <w:r w:rsidR="0011369E" w:rsidRPr="00673161">
          <w:rPr>
            <w:rStyle w:val="Hyperlink"/>
            <w:rFonts w:ascii="Times New Roman" w:eastAsia="Times New Roman" w:hAnsi="Times New Roman"/>
          </w:rPr>
          <w:t>https://mn.gov/mmb-stat/documents/budget/2018-19-biennial-budget-books/governors-recommendations-january-2017/transportation-department.pdf</w:t>
        </w:r>
      </w:hyperlink>
      <w:r w:rsidR="0011369E">
        <w:rPr>
          <w:rFonts w:ascii="Times New Roman" w:eastAsia="Times New Roman" w:hAnsi="Times New Roman"/>
        </w:rPr>
        <w:t xml:space="preserve"> and in the attachment titled </w:t>
      </w:r>
      <w:r w:rsidR="0011369E" w:rsidRPr="0011369E">
        <w:rPr>
          <w:rFonts w:ascii="Times New Roman" w:eastAsia="Times New Roman" w:hAnsi="Times New Roman"/>
        </w:rPr>
        <w:t>“House Transportation Info Request Data.”</w:t>
      </w:r>
    </w:p>
    <w:p w:rsidR="00872B67" w:rsidRPr="002C2B8C" w:rsidRDefault="00872B67" w:rsidP="002C2B8C">
      <w:pPr>
        <w:spacing w:after="0" w:line="240" w:lineRule="auto"/>
        <w:rPr>
          <w:rFonts w:ascii="Times New Roman" w:eastAsia="Times New Roman" w:hAnsi="Times New Roman"/>
          <w:b/>
        </w:rPr>
      </w:pPr>
    </w:p>
    <w:p w:rsidR="00872B67" w:rsidRPr="00080455" w:rsidRDefault="00872B67" w:rsidP="00872B67">
      <w:pPr>
        <w:pStyle w:val="ListParagraph"/>
        <w:numPr>
          <w:ilvl w:val="0"/>
          <w:numId w:val="13"/>
        </w:numPr>
        <w:spacing w:after="0" w:line="240" w:lineRule="auto"/>
        <w:rPr>
          <w:rFonts w:ascii="Times New Roman" w:eastAsia="Times New Roman" w:hAnsi="Times New Roman"/>
          <w:b/>
        </w:rPr>
      </w:pPr>
      <w:r w:rsidRPr="00080455">
        <w:rPr>
          <w:rFonts w:ascii="Times New Roman" w:eastAsia="Times New Roman" w:hAnsi="Times New Roman"/>
          <w:b/>
        </w:rPr>
        <w:t>List of all federal funds by program area.</w:t>
      </w:r>
    </w:p>
    <w:p w:rsidR="00872B67" w:rsidRDefault="00872B67" w:rsidP="00872B67">
      <w:pPr>
        <w:spacing w:after="0" w:line="240" w:lineRule="auto"/>
        <w:rPr>
          <w:rFonts w:ascii="Times New Roman" w:eastAsia="Times New Roman" w:hAnsi="Times New Roman"/>
          <w:b/>
        </w:rPr>
      </w:pPr>
    </w:p>
    <w:p w:rsidR="001C487B" w:rsidRPr="002C2B8C" w:rsidRDefault="001C487B" w:rsidP="001C487B">
      <w:pPr>
        <w:spacing w:after="0" w:line="240" w:lineRule="auto"/>
        <w:rPr>
          <w:rFonts w:ascii="Times New Roman" w:eastAsia="Times New Roman" w:hAnsi="Times New Roman"/>
        </w:rPr>
      </w:pPr>
      <w:r>
        <w:rPr>
          <w:rFonts w:ascii="Times New Roman" w:eastAsia="Times New Roman" w:hAnsi="Times New Roman"/>
        </w:rPr>
        <w:t xml:space="preserve">This information is available beginning on page 131 in Governor’ Dayton’s budget recommendations at </w:t>
      </w:r>
      <w:hyperlink r:id="rId12" w:history="1">
        <w:r w:rsidRPr="001B43FC">
          <w:rPr>
            <w:rStyle w:val="Hyperlink"/>
            <w:rFonts w:ascii="Times New Roman" w:eastAsia="Times New Roman" w:hAnsi="Times New Roman"/>
          </w:rPr>
          <w:t>https://mn.gov/mmb-stat/documents/budget/2018-19-biennial-budget-books/governors-recommendations-january-2017/transportation-department.pdf</w:t>
        </w:r>
      </w:hyperlink>
      <w:r>
        <w:rPr>
          <w:rFonts w:ascii="Times New Roman" w:eastAsia="Times New Roman" w:hAnsi="Times New Roman"/>
        </w:rPr>
        <w:t xml:space="preserve"> </w:t>
      </w:r>
    </w:p>
    <w:p w:rsidR="001C487B" w:rsidRPr="00080455" w:rsidRDefault="001C487B" w:rsidP="00872B67">
      <w:pPr>
        <w:spacing w:after="0" w:line="240" w:lineRule="auto"/>
        <w:rPr>
          <w:rFonts w:ascii="Times New Roman" w:eastAsia="Times New Roman" w:hAnsi="Times New Roman"/>
          <w:b/>
        </w:rPr>
      </w:pPr>
    </w:p>
    <w:p w:rsidR="00872B67" w:rsidRPr="00080455" w:rsidRDefault="00872B67" w:rsidP="00872B67">
      <w:pPr>
        <w:pStyle w:val="ListParagraph"/>
        <w:numPr>
          <w:ilvl w:val="0"/>
          <w:numId w:val="13"/>
        </w:numPr>
        <w:spacing w:after="0" w:line="240" w:lineRule="auto"/>
        <w:rPr>
          <w:rFonts w:ascii="Times New Roman" w:eastAsia="Times New Roman" w:hAnsi="Times New Roman"/>
          <w:b/>
        </w:rPr>
      </w:pPr>
      <w:r w:rsidRPr="00080455">
        <w:rPr>
          <w:rFonts w:ascii="Times New Roman" w:eastAsia="Times New Roman" w:hAnsi="Times New Roman"/>
          <w:b/>
        </w:rPr>
        <w:t>Identify all statutory and open appropriations by fund, with legal citation and purpose.</w:t>
      </w:r>
    </w:p>
    <w:p w:rsidR="002C2B8C" w:rsidRDefault="002C2B8C" w:rsidP="00872B67">
      <w:pPr>
        <w:spacing w:after="0" w:line="240" w:lineRule="auto"/>
        <w:rPr>
          <w:rFonts w:ascii="Times New Roman" w:eastAsia="Times New Roman" w:hAnsi="Times New Roman"/>
        </w:rPr>
      </w:pPr>
    </w:p>
    <w:p w:rsidR="00872B67" w:rsidRPr="002C2B8C" w:rsidRDefault="002C2B8C" w:rsidP="00872B67">
      <w:pPr>
        <w:spacing w:after="0" w:line="240" w:lineRule="auto"/>
        <w:rPr>
          <w:rFonts w:ascii="Times New Roman" w:eastAsia="Times New Roman" w:hAnsi="Times New Roman"/>
        </w:rPr>
      </w:pPr>
      <w:r>
        <w:rPr>
          <w:rFonts w:ascii="Times New Roman" w:eastAsia="Times New Roman" w:hAnsi="Times New Roman"/>
        </w:rPr>
        <w:t>Please see the attachment titled “</w:t>
      </w:r>
      <w:r w:rsidR="00654C6C">
        <w:rPr>
          <w:rFonts w:ascii="Times New Roman" w:eastAsia="Times New Roman" w:hAnsi="Times New Roman"/>
        </w:rPr>
        <w:t>House Transportation Info Request Data</w:t>
      </w:r>
      <w:r>
        <w:rPr>
          <w:rFonts w:ascii="Times New Roman" w:eastAsia="Times New Roman" w:hAnsi="Times New Roman"/>
        </w:rPr>
        <w:t xml:space="preserve">.” </w:t>
      </w:r>
    </w:p>
    <w:p w:rsidR="002C2B8C" w:rsidRPr="00080455" w:rsidRDefault="002C2B8C" w:rsidP="00872B67">
      <w:pPr>
        <w:spacing w:after="0" w:line="240" w:lineRule="auto"/>
        <w:rPr>
          <w:rFonts w:ascii="Times New Roman" w:eastAsia="Times New Roman" w:hAnsi="Times New Roman"/>
          <w:b/>
        </w:rPr>
      </w:pPr>
    </w:p>
    <w:p w:rsidR="00872B67" w:rsidRDefault="00872B67" w:rsidP="00872B67">
      <w:pPr>
        <w:pStyle w:val="ListParagraph"/>
        <w:numPr>
          <w:ilvl w:val="0"/>
          <w:numId w:val="13"/>
        </w:numPr>
        <w:spacing w:after="0" w:line="240" w:lineRule="auto"/>
        <w:rPr>
          <w:rFonts w:ascii="Times New Roman" w:eastAsia="Times New Roman" w:hAnsi="Times New Roman"/>
          <w:b/>
        </w:rPr>
      </w:pPr>
      <w:r w:rsidRPr="00080455">
        <w:rPr>
          <w:rFonts w:ascii="Times New Roman" w:eastAsia="Times New Roman" w:hAnsi="Times New Roman"/>
          <w:b/>
        </w:rPr>
        <w:t>Detail the Governor’s proposed budget for 2018/19 versus base funding for each Department within your agency as well as details any tails for 2020/21 biennium.</w:t>
      </w:r>
    </w:p>
    <w:p w:rsidR="000F424E" w:rsidRDefault="000F424E" w:rsidP="000F424E">
      <w:pPr>
        <w:spacing w:after="0" w:line="240" w:lineRule="auto"/>
        <w:rPr>
          <w:rFonts w:ascii="Times New Roman" w:eastAsia="Times New Roman" w:hAnsi="Times New Roman"/>
        </w:rPr>
      </w:pPr>
    </w:p>
    <w:p w:rsidR="000F424E" w:rsidRPr="000F424E" w:rsidRDefault="000F424E" w:rsidP="000F424E">
      <w:pPr>
        <w:spacing w:after="0" w:line="240" w:lineRule="auto"/>
        <w:rPr>
          <w:rFonts w:ascii="Times New Roman" w:eastAsia="Times New Roman" w:hAnsi="Times New Roman"/>
        </w:rPr>
      </w:pPr>
      <w:r>
        <w:rPr>
          <w:rFonts w:ascii="Times New Roman" w:eastAsia="Times New Roman" w:hAnsi="Times New Roman"/>
        </w:rPr>
        <w:t xml:space="preserve">This </w:t>
      </w:r>
      <w:r w:rsidRPr="000F424E">
        <w:rPr>
          <w:rFonts w:ascii="Times New Roman" w:eastAsia="Times New Roman" w:hAnsi="Times New Roman"/>
        </w:rPr>
        <w:t xml:space="preserve">information is available beginning on page </w:t>
      </w:r>
      <w:r>
        <w:rPr>
          <w:rFonts w:ascii="Times New Roman" w:eastAsia="Times New Roman" w:hAnsi="Times New Roman"/>
        </w:rPr>
        <w:t>58</w:t>
      </w:r>
      <w:r w:rsidRPr="000F424E">
        <w:rPr>
          <w:rFonts w:ascii="Times New Roman" w:eastAsia="Times New Roman" w:hAnsi="Times New Roman"/>
        </w:rPr>
        <w:t xml:space="preserve"> in Governor’ Dayton’s budget recommendations at </w:t>
      </w:r>
      <w:hyperlink r:id="rId13" w:history="1">
        <w:r w:rsidRPr="002E1235">
          <w:rPr>
            <w:rStyle w:val="Hyperlink"/>
            <w:rFonts w:ascii="Times New Roman" w:eastAsia="Times New Roman" w:hAnsi="Times New Roman"/>
          </w:rPr>
          <w:t>https://mn.gov/mmb-stat/documents/budget/2018-19-biennial-budget-books/governors-recommendations-january-2017/transportation-department.pdf</w:t>
        </w:r>
      </w:hyperlink>
      <w:r>
        <w:rPr>
          <w:rFonts w:ascii="Times New Roman" w:eastAsia="Times New Roman" w:hAnsi="Times New Roman"/>
        </w:rPr>
        <w:t xml:space="preserve"> </w:t>
      </w:r>
    </w:p>
    <w:p w:rsidR="00872B67" w:rsidRPr="00080455" w:rsidRDefault="00872B67" w:rsidP="00872B67">
      <w:pPr>
        <w:pStyle w:val="ListParagraph"/>
        <w:rPr>
          <w:rFonts w:ascii="Times New Roman" w:eastAsia="Times New Roman" w:hAnsi="Times New Roman"/>
          <w:b/>
        </w:rPr>
      </w:pPr>
    </w:p>
    <w:p w:rsidR="00872B67" w:rsidRDefault="00872B67" w:rsidP="002C2B8C">
      <w:pPr>
        <w:pStyle w:val="ListParagraph"/>
        <w:numPr>
          <w:ilvl w:val="0"/>
          <w:numId w:val="13"/>
        </w:numPr>
        <w:spacing w:after="0" w:line="240" w:lineRule="auto"/>
        <w:rPr>
          <w:rFonts w:ascii="Times New Roman" w:eastAsia="Times New Roman" w:hAnsi="Times New Roman"/>
          <w:b/>
        </w:rPr>
      </w:pPr>
      <w:r w:rsidRPr="00080455">
        <w:rPr>
          <w:rFonts w:ascii="Times New Roman" w:eastAsia="Times New Roman" w:hAnsi="Times New Roman"/>
          <w:b/>
        </w:rPr>
        <w:t>Please detail annual and total consulting contracts since 2008 paid for State Road Construction (SRC) account expenditures and other state road appropriation category accounts.</w:t>
      </w:r>
    </w:p>
    <w:p w:rsidR="002C2B8C" w:rsidRDefault="002C2B8C" w:rsidP="002C2B8C">
      <w:pPr>
        <w:spacing w:after="0" w:line="240" w:lineRule="auto"/>
        <w:rPr>
          <w:rFonts w:ascii="Times New Roman" w:eastAsia="Times New Roman" w:hAnsi="Times New Roman"/>
        </w:rPr>
      </w:pPr>
    </w:p>
    <w:p w:rsidR="002C2B8C" w:rsidRPr="002C2B8C" w:rsidRDefault="002C2B8C" w:rsidP="002C2B8C">
      <w:pPr>
        <w:spacing w:after="0" w:line="240" w:lineRule="auto"/>
        <w:rPr>
          <w:rFonts w:ascii="Times New Roman" w:eastAsia="Times New Roman" w:hAnsi="Times New Roman"/>
        </w:rPr>
      </w:pPr>
      <w:r>
        <w:rPr>
          <w:rFonts w:ascii="Times New Roman" w:eastAsia="Times New Roman" w:hAnsi="Times New Roman"/>
        </w:rPr>
        <w:t>Please see the attachment titled “SRC Consultant Spend, FY 2008-17.”</w:t>
      </w:r>
    </w:p>
    <w:p w:rsidR="00872B67" w:rsidRPr="00080455" w:rsidRDefault="00872B67" w:rsidP="00872B67">
      <w:pPr>
        <w:pStyle w:val="Body-Text"/>
        <w:numPr>
          <w:ilvl w:val="0"/>
          <w:numId w:val="12"/>
        </w:numPr>
        <w:rPr>
          <w:b/>
        </w:rPr>
      </w:pPr>
      <w:r w:rsidRPr="00080455">
        <w:rPr>
          <w:b/>
        </w:rPr>
        <w:lastRenderedPageBreak/>
        <w:t>Charge-backs Imposed by Other State Agencies</w:t>
      </w:r>
    </w:p>
    <w:p w:rsidR="00872B67" w:rsidRPr="00080455" w:rsidRDefault="00872B67" w:rsidP="00872B67">
      <w:pPr>
        <w:pStyle w:val="Body-Text"/>
        <w:numPr>
          <w:ilvl w:val="0"/>
          <w:numId w:val="15"/>
        </w:numPr>
        <w:rPr>
          <w:b/>
        </w:rPr>
      </w:pPr>
      <w:r w:rsidRPr="00080455">
        <w:rPr>
          <w:rFonts w:eastAsia="Times New Roman"/>
          <w:b/>
        </w:rPr>
        <w:t>Identify the state agency or agencies or Constitutional Office</w:t>
      </w:r>
    </w:p>
    <w:p w:rsidR="00872B67" w:rsidRPr="002C2B8C" w:rsidRDefault="00872B67" w:rsidP="00872B67">
      <w:pPr>
        <w:pStyle w:val="ListParagraph"/>
        <w:numPr>
          <w:ilvl w:val="1"/>
          <w:numId w:val="15"/>
        </w:numPr>
        <w:spacing w:after="0" w:line="240" w:lineRule="auto"/>
        <w:rPr>
          <w:rFonts w:ascii="Times New Roman" w:eastAsia="Times New Roman" w:hAnsi="Times New Roman"/>
          <w:b/>
        </w:rPr>
      </w:pPr>
      <w:r w:rsidRPr="002C2B8C">
        <w:rPr>
          <w:rFonts w:ascii="Times New Roman" w:eastAsia="Times New Roman" w:hAnsi="Times New Roman"/>
          <w:b/>
        </w:rPr>
        <w:t>Current rate or charge back</w:t>
      </w:r>
    </w:p>
    <w:p w:rsidR="00872B67" w:rsidRPr="002C2B8C" w:rsidRDefault="00872B67" w:rsidP="00872B67">
      <w:pPr>
        <w:pStyle w:val="ListParagraph"/>
        <w:numPr>
          <w:ilvl w:val="1"/>
          <w:numId w:val="15"/>
        </w:numPr>
        <w:spacing w:after="0" w:line="240" w:lineRule="auto"/>
        <w:rPr>
          <w:rFonts w:ascii="Times New Roman" w:eastAsia="Times New Roman" w:hAnsi="Times New Roman"/>
          <w:b/>
        </w:rPr>
      </w:pPr>
      <w:r w:rsidRPr="002C2B8C">
        <w:rPr>
          <w:rFonts w:ascii="Times New Roman" w:eastAsia="Times New Roman" w:hAnsi="Times New Roman"/>
          <w:b/>
        </w:rPr>
        <w:t>Amount charged each fiscal year from FY 2014-2017</w:t>
      </w:r>
    </w:p>
    <w:p w:rsidR="002C2B8C" w:rsidRPr="002C2B8C" w:rsidRDefault="00872B67" w:rsidP="002C2B8C">
      <w:pPr>
        <w:pStyle w:val="ListParagraph"/>
        <w:numPr>
          <w:ilvl w:val="1"/>
          <w:numId w:val="15"/>
        </w:numPr>
        <w:spacing w:after="0" w:line="240" w:lineRule="auto"/>
        <w:rPr>
          <w:rFonts w:ascii="Times New Roman" w:eastAsia="Times New Roman" w:hAnsi="Times New Roman"/>
          <w:b/>
        </w:rPr>
      </w:pPr>
      <w:r w:rsidRPr="002C2B8C">
        <w:rPr>
          <w:rFonts w:ascii="Times New Roman" w:eastAsia="Times New Roman" w:hAnsi="Times New Roman"/>
          <w:b/>
        </w:rPr>
        <w:t>Service delivered to state agency or Constitutional Office</w:t>
      </w:r>
    </w:p>
    <w:p w:rsidR="00872B67" w:rsidRPr="002C2B8C" w:rsidRDefault="00872B67" w:rsidP="002C2B8C">
      <w:pPr>
        <w:pStyle w:val="ListParagraph"/>
        <w:numPr>
          <w:ilvl w:val="1"/>
          <w:numId w:val="15"/>
        </w:numPr>
        <w:spacing w:after="0" w:line="240" w:lineRule="auto"/>
        <w:rPr>
          <w:rFonts w:ascii="Times New Roman" w:eastAsia="Times New Roman" w:hAnsi="Times New Roman"/>
          <w:b/>
        </w:rPr>
      </w:pPr>
      <w:r w:rsidRPr="002C2B8C">
        <w:rPr>
          <w:rFonts w:ascii="Times New Roman" w:eastAsia="Times New Roman" w:hAnsi="Times New Roman"/>
          <w:b/>
        </w:rPr>
        <w:t xml:space="preserve">Identify the fund (general, special revenue or federal) used to pay the rate or charge back </w:t>
      </w:r>
      <w:r w:rsidRPr="002C2B8C">
        <w:rPr>
          <w:rFonts w:ascii="Times New Roman" w:eastAsia="Times New Roman" w:hAnsi="Times New Roman"/>
          <w:b/>
          <w:color w:val="0D0D0D" w:themeColor="text1" w:themeTint="F2"/>
        </w:rPr>
        <w:t>imposed by state agency or Constitutional Office</w:t>
      </w:r>
    </w:p>
    <w:p w:rsidR="002C2B8C" w:rsidRPr="002C2B8C" w:rsidRDefault="0011369E" w:rsidP="002C2B8C">
      <w:pPr>
        <w:pStyle w:val="Body-Text"/>
        <w:ind w:left="0" w:firstLine="0"/>
        <w:rPr>
          <w:color w:val="0D0D0D" w:themeColor="text1" w:themeTint="F2"/>
        </w:rPr>
      </w:pPr>
      <w:r>
        <w:rPr>
          <w:color w:val="0D0D0D" w:themeColor="text1" w:themeTint="F2"/>
        </w:rPr>
        <w:t>Please see the attachment</w:t>
      </w:r>
      <w:r w:rsidR="002C2B8C">
        <w:rPr>
          <w:color w:val="0D0D0D" w:themeColor="text1" w:themeTint="F2"/>
        </w:rPr>
        <w:t xml:space="preserve"> titled “</w:t>
      </w:r>
      <w:r w:rsidR="00654C6C">
        <w:rPr>
          <w:color w:val="0D0D0D" w:themeColor="text1" w:themeTint="F2"/>
        </w:rPr>
        <w:t>House Transportation Info Request Data</w:t>
      </w:r>
      <w:r w:rsidR="002C2B8C">
        <w:rPr>
          <w:color w:val="0D0D0D" w:themeColor="text1" w:themeTint="F2"/>
        </w:rPr>
        <w:t>.”</w:t>
      </w:r>
    </w:p>
    <w:p w:rsidR="00872B67" w:rsidRPr="00080455" w:rsidRDefault="00872B67" w:rsidP="00872B67">
      <w:pPr>
        <w:pStyle w:val="Body-Text"/>
        <w:numPr>
          <w:ilvl w:val="0"/>
          <w:numId w:val="12"/>
        </w:numPr>
        <w:rPr>
          <w:b/>
          <w:color w:val="0D0D0D" w:themeColor="text1" w:themeTint="F2"/>
        </w:rPr>
      </w:pPr>
      <w:r w:rsidRPr="00080455">
        <w:rPr>
          <w:b/>
          <w:color w:val="0D0D0D" w:themeColor="text1" w:themeTint="F2"/>
        </w:rPr>
        <w:t>Other Information</w:t>
      </w:r>
    </w:p>
    <w:p w:rsidR="00B0051E" w:rsidRDefault="00872B67" w:rsidP="00B0051E">
      <w:pPr>
        <w:pStyle w:val="ListParagraph"/>
        <w:numPr>
          <w:ilvl w:val="0"/>
          <w:numId w:val="18"/>
        </w:numPr>
        <w:spacing w:after="0" w:line="240" w:lineRule="auto"/>
        <w:rPr>
          <w:rFonts w:ascii="Times New Roman" w:eastAsia="Times New Roman" w:hAnsi="Times New Roman"/>
          <w:b/>
          <w:color w:val="0D0D0D" w:themeColor="text1" w:themeTint="F2"/>
        </w:rPr>
      </w:pPr>
      <w:r w:rsidRPr="00080455">
        <w:rPr>
          <w:rFonts w:ascii="Times New Roman" w:eastAsia="Times New Roman" w:hAnsi="Times New Roman"/>
          <w:b/>
          <w:color w:val="0D0D0D" w:themeColor="text1" w:themeTint="F2"/>
        </w:rPr>
        <w:t>Please indicate if the agency is engaged or planning any rulemaking activities and, if so, the status of that rulemaking.</w:t>
      </w:r>
    </w:p>
    <w:p w:rsidR="002C2B8C" w:rsidRPr="002C2B8C" w:rsidRDefault="002C2B8C" w:rsidP="002C2B8C">
      <w:pPr>
        <w:pStyle w:val="ListParagraph"/>
        <w:spacing w:after="0" w:line="240" w:lineRule="auto"/>
        <w:ind w:left="1080"/>
        <w:rPr>
          <w:rFonts w:ascii="Times New Roman" w:eastAsia="Times New Roman" w:hAnsi="Times New Roman"/>
          <w:b/>
          <w:color w:val="0D0D0D" w:themeColor="text1" w:themeTint="F2"/>
        </w:rPr>
      </w:pPr>
    </w:p>
    <w:p w:rsidR="00B0051E" w:rsidRPr="002C2B8C" w:rsidRDefault="00B0051E" w:rsidP="002C2B8C">
      <w:pPr>
        <w:spacing w:after="0" w:line="240" w:lineRule="auto"/>
        <w:rPr>
          <w:rFonts w:ascii="Times New Roman" w:hAnsi="Times New Roman"/>
          <w:color w:val="0D0D0D" w:themeColor="text1" w:themeTint="F2"/>
        </w:rPr>
      </w:pPr>
      <w:r w:rsidRPr="002C2B8C">
        <w:rPr>
          <w:rFonts w:ascii="Times New Roman" w:hAnsi="Times New Roman"/>
          <w:color w:val="0D0D0D" w:themeColor="text1" w:themeTint="F2"/>
        </w:rPr>
        <w:t xml:space="preserve">MnDOT is engaged in rulemaking for amendments to Minnesota Rules, Chapter 8820 – Local State-Aid Route Standards, Financing. The rule is currently in draft form and the agency is seeking comments from stakeholders.  </w:t>
      </w:r>
    </w:p>
    <w:p w:rsidR="00B0051E" w:rsidRDefault="00B0051E" w:rsidP="00B0051E">
      <w:pPr>
        <w:pStyle w:val="ListParagraph"/>
        <w:spacing w:after="0" w:line="240" w:lineRule="auto"/>
        <w:contextualSpacing w:val="0"/>
        <w:rPr>
          <w:rFonts w:ascii="Times New Roman" w:hAnsi="Times New Roman"/>
          <w:color w:val="0D0D0D" w:themeColor="text1" w:themeTint="F2"/>
        </w:rPr>
      </w:pPr>
    </w:p>
    <w:p w:rsidR="00B0051E" w:rsidRPr="002C2B8C" w:rsidRDefault="00B0051E" w:rsidP="002C2B8C">
      <w:pPr>
        <w:spacing w:after="0" w:line="240" w:lineRule="auto"/>
        <w:rPr>
          <w:rFonts w:ascii="Times New Roman" w:hAnsi="Times New Roman"/>
          <w:color w:val="0D0D0D" w:themeColor="text1" w:themeTint="F2"/>
        </w:rPr>
      </w:pPr>
      <w:r w:rsidRPr="002C2B8C">
        <w:rPr>
          <w:rFonts w:ascii="Times New Roman" w:hAnsi="Times New Roman"/>
          <w:color w:val="0D0D0D" w:themeColor="text1" w:themeTint="F2"/>
        </w:rPr>
        <w:t>MnDOT is considering amendments to the following three rule chapters:</w:t>
      </w:r>
    </w:p>
    <w:p w:rsidR="00B0051E" w:rsidRPr="00B0051E" w:rsidRDefault="00B0051E" w:rsidP="00B0051E">
      <w:pPr>
        <w:pStyle w:val="ListParagraph"/>
        <w:numPr>
          <w:ilvl w:val="0"/>
          <w:numId w:val="21"/>
        </w:numPr>
        <w:spacing w:after="0" w:line="240" w:lineRule="auto"/>
        <w:contextualSpacing w:val="0"/>
        <w:rPr>
          <w:rFonts w:ascii="Times New Roman" w:hAnsi="Times New Roman"/>
          <w:color w:val="0D0D0D" w:themeColor="text1" w:themeTint="F2"/>
        </w:rPr>
      </w:pPr>
      <w:r w:rsidRPr="00B0051E">
        <w:rPr>
          <w:rFonts w:ascii="Times New Roman" w:hAnsi="Times New Roman"/>
          <w:color w:val="0D0D0D" w:themeColor="text1" w:themeTint="F2"/>
        </w:rPr>
        <w:t>Chapter 8835 –</w:t>
      </w:r>
      <w:r>
        <w:rPr>
          <w:rFonts w:ascii="Times New Roman" w:hAnsi="Times New Roman"/>
          <w:color w:val="0D0D0D" w:themeColor="text1" w:themeTint="F2"/>
        </w:rPr>
        <w:t xml:space="preserve"> </w:t>
      </w:r>
      <w:r w:rsidRPr="00B0051E">
        <w:rPr>
          <w:rFonts w:ascii="Times New Roman" w:hAnsi="Times New Roman"/>
          <w:color w:val="0D0D0D" w:themeColor="text1" w:themeTint="F2"/>
        </w:rPr>
        <w:t>Public Transit </w:t>
      </w:r>
    </w:p>
    <w:p w:rsidR="00B0051E" w:rsidRPr="00B0051E" w:rsidRDefault="00B0051E" w:rsidP="00B0051E">
      <w:pPr>
        <w:pStyle w:val="ListParagraph"/>
        <w:numPr>
          <w:ilvl w:val="0"/>
          <w:numId w:val="21"/>
        </w:numPr>
        <w:spacing w:after="0" w:line="240" w:lineRule="auto"/>
        <w:contextualSpacing w:val="0"/>
        <w:rPr>
          <w:rFonts w:ascii="Times New Roman" w:hAnsi="Times New Roman"/>
          <w:color w:val="0D0D0D" w:themeColor="text1" w:themeTint="F2"/>
        </w:rPr>
      </w:pPr>
      <w:r w:rsidRPr="00B0051E">
        <w:rPr>
          <w:rFonts w:ascii="Times New Roman" w:hAnsi="Times New Roman"/>
          <w:color w:val="0D0D0D" w:themeColor="text1" w:themeTint="F2"/>
        </w:rPr>
        <w:t>Chapter 8840</w:t>
      </w:r>
      <w:r>
        <w:rPr>
          <w:rFonts w:ascii="Times New Roman" w:hAnsi="Times New Roman"/>
          <w:color w:val="0D0D0D" w:themeColor="text1" w:themeTint="F2"/>
        </w:rPr>
        <w:t xml:space="preserve"> </w:t>
      </w:r>
      <w:r w:rsidRPr="00B0051E">
        <w:rPr>
          <w:rFonts w:ascii="Times New Roman" w:hAnsi="Times New Roman"/>
          <w:color w:val="0D0D0D" w:themeColor="text1" w:themeTint="F2"/>
        </w:rPr>
        <w:t>– Transportation for Elderly, Disabled </w:t>
      </w:r>
    </w:p>
    <w:p w:rsidR="00B0051E" w:rsidRPr="00B0051E" w:rsidRDefault="00B0051E" w:rsidP="00B0051E">
      <w:pPr>
        <w:pStyle w:val="ListParagraph"/>
        <w:numPr>
          <w:ilvl w:val="0"/>
          <w:numId w:val="21"/>
        </w:numPr>
        <w:spacing w:after="0" w:line="240" w:lineRule="auto"/>
        <w:contextualSpacing w:val="0"/>
        <w:rPr>
          <w:rFonts w:ascii="Times New Roman" w:hAnsi="Times New Roman"/>
          <w:color w:val="0D0D0D" w:themeColor="text1" w:themeTint="F2"/>
        </w:rPr>
      </w:pPr>
      <w:r w:rsidRPr="00B0051E">
        <w:rPr>
          <w:rFonts w:ascii="Times New Roman" w:hAnsi="Times New Roman"/>
          <w:color w:val="0D0D0D" w:themeColor="text1" w:themeTint="F2"/>
        </w:rPr>
        <w:t>Chapter 8880</w:t>
      </w:r>
      <w:r>
        <w:rPr>
          <w:rFonts w:ascii="Times New Roman" w:hAnsi="Times New Roman"/>
          <w:color w:val="0D0D0D" w:themeColor="text1" w:themeTint="F2"/>
        </w:rPr>
        <w:t xml:space="preserve"> </w:t>
      </w:r>
      <w:r w:rsidRPr="00B0051E">
        <w:rPr>
          <w:rFonts w:ascii="Times New Roman" w:hAnsi="Times New Roman"/>
          <w:color w:val="0D0D0D" w:themeColor="text1" w:themeTint="F2"/>
        </w:rPr>
        <w:t xml:space="preserve">–  Limousine Service, Permit Requirements  </w:t>
      </w:r>
    </w:p>
    <w:p w:rsidR="00B0051E" w:rsidRDefault="00B0051E" w:rsidP="00B0051E">
      <w:pPr>
        <w:spacing w:after="0" w:line="240" w:lineRule="auto"/>
        <w:ind w:firstLine="720"/>
        <w:rPr>
          <w:rFonts w:ascii="Times New Roman" w:hAnsi="Times New Roman"/>
          <w:color w:val="0D0D0D" w:themeColor="text1" w:themeTint="F2"/>
        </w:rPr>
      </w:pPr>
    </w:p>
    <w:p w:rsidR="00B0051E" w:rsidRPr="00B0051E" w:rsidRDefault="00B0051E" w:rsidP="002C2B8C">
      <w:pPr>
        <w:spacing w:after="0" w:line="240" w:lineRule="auto"/>
        <w:rPr>
          <w:rFonts w:ascii="Times New Roman" w:eastAsia="Times New Roman" w:hAnsi="Times New Roman"/>
          <w:color w:val="0D0D0D" w:themeColor="text1" w:themeTint="F2"/>
        </w:rPr>
      </w:pPr>
      <w:r w:rsidRPr="00B0051E">
        <w:rPr>
          <w:rFonts w:ascii="Times New Roman" w:hAnsi="Times New Roman"/>
          <w:color w:val="0D0D0D" w:themeColor="text1" w:themeTint="F2"/>
        </w:rPr>
        <w:t xml:space="preserve">No formal rulemaking actions have taken place regarding the above three rule chapters. However, discussions have taken place internally regarding the need to update the chapters. There is the potential for </w:t>
      </w:r>
      <w:r w:rsidR="007D2A64">
        <w:rPr>
          <w:rFonts w:ascii="Times New Roman" w:hAnsi="Times New Roman"/>
          <w:color w:val="0D0D0D" w:themeColor="text1" w:themeTint="F2"/>
        </w:rPr>
        <w:t>MnDOT to start</w:t>
      </w:r>
      <w:r w:rsidRPr="00B0051E">
        <w:rPr>
          <w:rFonts w:ascii="Times New Roman" w:hAnsi="Times New Roman"/>
          <w:color w:val="0D0D0D" w:themeColor="text1" w:themeTint="F2"/>
        </w:rPr>
        <w:t xml:space="preserve"> rulemaking on one or more of the above rule chapters during this year.</w:t>
      </w:r>
    </w:p>
    <w:p w:rsidR="00872B67" w:rsidRPr="00B0051E" w:rsidRDefault="00872B67" w:rsidP="00872B67">
      <w:pPr>
        <w:spacing w:after="0" w:line="240" w:lineRule="auto"/>
        <w:jc w:val="both"/>
        <w:rPr>
          <w:rFonts w:ascii="Times New Roman" w:eastAsia="Times New Roman" w:hAnsi="Times New Roman"/>
          <w:color w:val="0D0D0D" w:themeColor="text1" w:themeTint="F2"/>
        </w:rPr>
      </w:pPr>
    </w:p>
    <w:p w:rsidR="00872B67" w:rsidRPr="00C91AAF" w:rsidRDefault="00872B67" w:rsidP="00430937">
      <w:pPr>
        <w:pStyle w:val="ListParagraph"/>
        <w:numPr>
          <w:ilvl w:val="0"/>
          <w:numId w:val="18"/>
        </w:numPr>
        <w:spacing w:after="0" w:line="240" w:lineRule="auto"/>
        <w:jc w:val="both"/>
        <w:rPr>
          <w:rFonts w:ascii="Times New Roman" w:eastAsia="Times New Roman" w:hAnsi="Times New Roman"/>
          <w:b/>
        </w:rPr>
      </w:pPr>
      <w:r w:rsidRPr="00C91AAF">
        <w:rPr>
          <w:rFonts w:ascii="Times New Roman" w:eastAsia="Times New Roman" w:hAnsi="Times New Roman"/>
          <w:b/>
          <w:color w:val="0D0D0D" w:themeColor="text1" w:themeTint="F2"/>
        </w:rPr>
        <w:t>Please detail the agency's use of state</w:t>
      </w:r>
      <w:r w:rsidRPr="00C91AAF">
        <w:rPr>
          <w:rFonts w:ascii="Times New Roman" w:eastAsia="Times New Roman" w:hAnsi="Times New Roman"/>
          <w:b/>
        </w:rPr>
        <w:t xml:space="preserve">-owned passenger vehicles and provide the Committee with a description of how the vehicles are utilized by the agency and the assignment of vehicle, if any are utilized by the agency. </w:t>
      </w:r>
    </w:p>
    <w:p w:rsidR="00C91AAF" w:rsidRDefault="00C91AAF" w:rsidP="00C91AAF">
      <w:pPr>
        <w:autoSpaceDE w:val="0"/>
        <w:autoSpaceDN w:val="0"/>
        <w:spacing w:after="0" w:line="240" w:lineRule="auto"/>
        <w:rPr>
          <w:rFonts w:ascii="Times New Roman" w:hAnsi="Times New Roman"/>
          <w:color w:val="181818"/>
        </w:rPr>
      </w:pPr>
    </w:p>
    <w:p w:rsidR="00CC7284" w:rsidRPr="00C91AAF" w:rsidRDefault="00CC7284" w:rsidP="00C91AAF">
      <w:pPr>
        <w:autoSpaceDE w:val="0"/>
        <w:autoSpaceDN w:val="0"/>
        <w:spacing w:after="0" w:line="240" w:lineRule="auto"/>
        <w:rPr>
          <w:rFonts w:ascii="Times New Roman" w:hAnsi="Times New Roman"/>
          <w:color w:val="191919"/>
        </w:rPr>
      </w:pPr>
      <w:r w:rsidRPr="00C91AAF">
        <w:rPr>
          <w:rFonts w:ascii="Times New Roman" w:hAnsi="Times New Roman"/>
          <w:color w:val="181818"/>
        </w:rPr>
        <w:t>MnDOT has 292 passenger vehicles. This includes both sedans and mini-vans whose primary function is to move people throughout the state, such as moving staff to meetings, and for things like bridge inspections, commercial truck and bus safety, highway construction management oversight, highway system planning, radio towers and communications, and traffic management</w:t>
      </w:r>
      <w:r w:rsidR="007D2A64">
        <w:rPr>
          <w:rFonts w:ascii="Times New Roman" w:hAnsi="Times New Roman"/>
          <w:color w:val="181818"/>
        </w:rPr>
        <w:t>.</w:t>
      </w:r>
    </w:p>
    <w:p w:rsidR="00C91AAF" w:rsidRDefault="00C91AAF" w:rsidP="00C91AAF">
      <w:pPr>
        <w:autoSpaceDE w:val="0"/>
        <w:autoSpaceDN w:val="0"/>
        <w:spacing w:after="0" w:line="240" w:lineRule="auto"/>
        <w:ind w:firstLine="720"/>
        <w:rPr>
          <w:rFonts w:ascii="Times New Roman" w:hAnsi="Times New Roman"/>
          <w:color w:val="181818"/>
        </w:rPr>
      </w:pPr>
    </w:p>
    <w:p w:rsidR="00CC7284" w:rsidRPr="00C91AAF" w:rsidRDefault="00CC7284" w:rsidP="00C91AAF">
      <w:pPr>
        <w:autoSpaceDE w:val="0"/>
        <w:autoSpaceDN w:val="0"/>
        <w:spacing w:after="0" w:line="240" w:lineRule="auto"/>
        <w:rPr>
          <w:rFonts w:ascii="Times New Roman" w:hAnsi="Times New Roman"/>
          <w:color w:val="191919"/>
        </w:rPr>
      </w:pPr>
      <w:r w:rsidRPr="00C91AAF">
        <w:rPr>
          <w:rFonts w:ascii="Times New Roman" w:hAnsi="Times New Roman"/>
          <w:color w:val="181818"/>
        </w:rPr>
        <w:t>If we broaden the definition of a passenger vehicle to include all Class 1 and 2 vehicle</w:t>
      </w:r>
      <w:r w:rsidR="00C91AAF">
        <w:rPr>
          <w:rFonts w:ascii="Times New Roman" w:hAnsi="Times New Roman"/>
          <w:color w:val="181818"/>
        </w:rPr>
        <w:t>s</w:t>
      </w:r>
      <w:r w:rsidRPr="00C91AAF">
        <w:rPr>
          <w:rFonts w:ascii="Times New Roman" w:hAnsi="Times New Roman"/>
          <w:color w:val="181818"/>
        </w:rPr>
        <w:t>, which includes pickup truck</w:t>
      </w:r>
      <w:r w:rsidR="00C91AAF">
        <w:rPr>
          <w:rFonts w:ascii="Times New Roman" w:hAnsi="Times New Roman"/>
          <w:color w:val="181818"/>
        </w:rPr>
        <w:t>s</w:t>
      </w:r>
      <w:r w:rsidRPr="00C91AAF">
        <w:rPr>
          <w:rFonts w:ascii="Times New Roman" w:hAnsi="Times New Roman"/>
          <w:color w:val="181818"/>
        </w:rPr>
        <w:t xml:space="preserve"> and full-sized vans, the total number of units is 1,596. In addition to the duties listed above</w:t>
      </w:r>
      <w:r w:rsidR="00C91AAF">
        <w:rPr>
          <w:rFonts w:ascii="Times New Roman" w:hAnsi="Times New Roman"/>
          <w:color w:val="181818"/>
        </w:rPr>
        <w:t>, these vehicles</w:t>
      </w:r>
      <w:r w:rsidRPr="00C91AAF">
        <w:rPr>
          <w:rFonts w:ascii="Times New Roman" w:hAnsi="Times New Roman"/>
          <w:color w:val="181818"/>
        </w:rPr>
        <w:t xml:space="preserve"> </w:t>
      </w:r>
      <w:r w:rsidR="00C91AAF">
        <w:rPr>
          <w:rFonts w:ascii="Times New Roman" w:hAnsi="Times New Roman"/>
          <w:color w:val="181818"/>
        </w:rPr>
        <w:t>are</w:t>
      </w:r>
      <w:r w:rsidRPr="00C91AAF">
        <w:rPr>
          <w:rFonts w:ascii="Times New Roman" w:hAnsi="Times New Roman"/>
          <w:color w:val="181818"/>
        </w:rPr>
        <w:t xml:space="preserve"> used for such activities as </w:t>
      </w:r>
      <w:r w:rsidR="00C91AAF">
        <w:rPr>
          <w:rFonts w:ascii="Times New Roman" w:hAnsi="Times New Roman"/>
          <w:color w:val="181818"/>
        </w:rPr>
        <w:t>d</w:t>
      </w:r>
      <w:r w:rsidRPr="00C91AAF">
        <w:rPr>
          <w:rFonts w:ascii="Times New Roman" w:hAnsi="Times New Roman"/>
          <w:color w:val="181818"/>
        </w:rPr>
        <w:t xml:space="preserve">rainage </w:t>
      </w:r>
      <w:r w:rsidR="00C91AAF">
        <w:rPr>
          <w:rFonts w:ascii="Times New Roman" w:hAnsi="Times New Roman"/>
          <w:color w:val="181818"/>
        </w:rPr>
        <w:t>systems inspection and m</w:t>
      </w:r>
      <w:r w:rsidRPr="00C91AAF">
        <w:rPr>
          <w:rFonts w:ascii="Times New Roman" w:hAnsi="Times New Roman"/>
          <w:color w:val="181818"/>
        </w:rPr>
        <w:t xml:space="preserve">aintenance, </w:t>
      </w:r>
      <w:r w:rsidR="00C91AAF">
        <w:rPr>
          <w:rFonts w:ascii="Times New Roman" w:hAnsi="Times New Roman"/>
          <w:color w:val="181818"/>
        </w:rPr>
        <w:t>p</w:t>
      </w:r>
      <w:r w:rsidRPr="00C91AAF">
        <w:rPr>
          <w:rFonts w:ascii="Times New Roman" w:hAnsi="Times New Roman"/>
          <w:color w:val="181818"/>
        </w:rPr>
        <w:t xml:space="preserve">avement and </w:t>
      </w:r>
      <w:r w:rsidR="00C91AAF">
        <w:rPr>
          <w:rFonts w:ascii="Times New Roman" w:hAnsi="Times New Roman"/>
          <w:color w:val="181818"/>
        </w:rPr>
        <w:t>surface repair, property m</w:t>
      </w:r>
      <w:r w:rsidRPr="00C91AAF">
        <w:rPr>
          <w:rFonts w:ascii="Times New Roman" w:hAnsi="Times New Roman"/>
          <w:color w:val="181818"/>
        </w:rPr>
        <w:t xml:space="preserve">anagement, </w:t>
      </w:r>
      <w:r w:rsidR="00C91AAF">
        <w:rPr>
          <w:rFonts w:ascii="Times New Roman" w:hAnsi="Times New Roman"/>
          <w:color w:val="181818"/>
        </w:rPr>
        <w:t>s</w:t>
      </w:r>
      <w:r w:rsidRPr="00C91AAF">
        <w:rPr>
          <w:rFonts w:ascii="Times New Roman" w:hAnsi="Times New Roman"/>
          <w:color w:val="181818"/>
        </w:rPr>
        <w:t xml:space="preserve">ign </w:t>
      </w:r>
      <w:r w:rsidR="00C91AAF">
        <w:rPr>
          <w:rFonts w:ascii="Times New Roman" w:hAnsi="Times New Roman"/>
          <w:color w:val="181818"/>
        </w:rPr>
        <w:t>i</w:t>
      </w:r>
      <w:r w:rsidRPr="00C91AAF">
        <w:rPr>
          <w:rFonts w:ascii="Times New Roman" w:hAnsi="Times New Roman"/>
          <w:color w:val="181818"/>
        </w:rPr>
        <w:t xml:space="preserve">nspection and </w:t>
      </w:r>
      <w:r w:rsidR="00C91AAF">
        <w:rPr>
          <w:rFonts w:ascii="Times New Roman" w:hAnsi="Times New Roman"/>
          <w:color w:val="181818"/>
        </w:rPr>
        <w:t>m</w:t>
      </w:r>
      <w:r w:rsidRPr="00C91AAF">
        <w:rPr>
          <w:rFonts w:ascii="Times New Roman" w:hAnsi="Times New Roman"/>
          <w:color w:val="181818"/>
        </w:rPr>
        <w:t xml:space="preserve">aintenance, </w:t>
      </w:r>
      <w:r w:rsidR="00C91AAF">
        <w:rPr>
          <w:rFonts w:ascii="Times New Roman" w:hAnsi="Times New Roman"/>
          <w:color w:val="181818"/>
        </w:rPr>
        <w:t>r</w:t>
      </w:r>
      <w:r w:rsidRPr="00C91AAF">
        <w:rPr>
          <w:rFonts w:ascii="Times New Roman" w:hAnsi="Times New Roman"/>
          <w:color w:val="181818"/>
        </w:rPr>
        <w:t xml:space="preserve">oadway </w:t>
      </w:r>
      <w:r w:rsidR="00C91AAF">
        <w:rPr>
          <w:rFonts w:ascii="Times New Roman" w:hAnsi="Times New Roman"/>
          <w:color w:val="181818"/>
        </w:rPr>
        <w:t>s</w:t>
      </w:r>
      <w:r w:rsidRPr="00C91AAF">
        <w:rPr>
          <w:rFonts w:ascii="Times New Roman" w:hAnsi="Times New Roman"/>
          <w:color w:val="181818"/>
        </w:rPr>
        <w:t xml:space="preserve">tructures </w:t>
      </w:r>
      <w:r w:rsidR="00C91AAF">
        <w:rPr>
          <w:rFonts w:ascii="Times New Roman" w:hAnsi="Times New Roman"/>
          <w:color w:val="181818"/>
        </w:rPr>
        <w:t>m</w:t>
      </w:r>
      <w:r w:rsidRPr="00C91AAF">
        <w:rPr>
          <w:rFonts w:ascii="Times New Roman" w:hAnsi="Times New Roman"/>
          <w:color w:val="181818"/>
        </w:rPr>
        <w:t xml:space="preserve">aintenance, </w:t>
      </w:r>
      <w:r w:rsidR="00C91AAF">
        <w:rPr>
          <w:rFonts w:ascii="Times New Roman" w:hAnsi="Times New Roman"/>
          <w:color w:val="181818"/>
        </w:rPr>
        <w:t>trun</w:t>
      </w:r>
      <w:r w:rsidRPr="00C91AAF">
        <w:rPr>
          <w:rFonts w:ascii="Times New Roman" w:hAnsi="Times New Roman"/>
          <w:color w:val="181818"/>
        </w:rPr>
        <w:t xml:space="preserve">k </w:t>
      </w:r>
      <w:r w:rsidR="00C91AAF">
        <w:rPr>
          <w:rFonts w:ascii="Times New Roman" w:hAnsi="Times New Roman"/>
          <w:color w:val="181818"/>
        </w:rPr>
        <w:t>highway system p</w:t>
      </w:r>
      <w:r w:rsidRPr="00C91AAF">
        <w:rPr>
          <w:rFonts w:ascii="Times New Roman" w:hAnsi="Times New Roman"/>
          <w:color w:val="181818"/>
        </w:rPr>
        <w:t xml:space="preserve">reservation and </w:t>
      </w:r>
      <w:r w:rsidR="00C91AAF">
        <w:rPr>
          <w:rFonts w:ascii="Times New Roman" w:hAnsi="Times New Roman"/>
          <w:color w:val="181818"/>
        </w:rPr>
        <w:t>v</w:t>
      </w:r>
      <w:r w:rsidRPr="00C91AAF">
        <w:rPr>
          <w:rFonts w:ascii="Times New Roman" w:hAnsi="Times New Roman"/>
          <w:color w:val="181818"/>
        </w:rPr>
        <w:t xml:space="preserve">egetation </w:t>
      </w:r>
      <w:r w:rsidR="00C91AAF">
        <w:rPr>
          <w:rFonts w:ascii="Times New Roman" w:hAnsi="Times New Roman"/>
          <w:color w:val="181818"/>
        </w:rPr>
        <w:t>m</w:t>
      </w:r>
      <w:r w:rsidRPr="00C91AAF">
        <w:rPr>
          <w:rFonts w:ascii="Times New Roman" w:hAnsi="Times New Roman"/>
          <w:color w:val="181818"/>
        </w:rPr>
        <w:t>anagement.</w:t>
      </w:r>
    </w:p>
    <w:p w:rsidR="00CC7284" w:rsidRPr="00CC7284" w:rsidRDefault="00CC7284" w:rsidP="00CC7284">
      <w:pPr>
        <w:pStyle w:val="ListParagraph"/>
        <w:spacing w:after="0" w:line="240" w:lineRule="auto"/>
        <w:jc w:val="both"/>
        <w:rPr>
          <w:rFonts w:ascii="Times New Roman" w:eastAsia="Times New Roman" w:hAnsi="Times New Roman"/>
        </w:rPr>
      </w:pPr>
    </w:p>
    <w:p w:rsidR="00CC7284" w:rsidRPr="00080455" w:rsidRDefault="00CC7284" w:rsidP="00080455">
      <w:pPr>
        <w:spacing w:after="0" w:line="240" w:lineRule="auto"/>
        <w:ind w:left="720"/>
        <w:jc w:val="both"/>
        <w:rPr>
          <w:rFonts w:ascii="Times New Roman" w:eastAsia="Times New Roman" w:hAnsi="Times New Roman"/>
          <w:b/>
        </w:rPr>
      </w:pPr>
      <w:r w:rsidRPr="00080455">
        <w:rPr>
          <w:rFonts w:ascii="Times New Roman" w:eastAsia="Times New Roman" w:hAnsi="Times New Roman"/>
          <w:b/>
        </w:rPr>
        <w:t>In addition, please submit seven-year information including the number vehicles utilized by each department or section of the agency and the assignment of vehicles to employees.</w:t>
      </w:r>
    </w:p>
    <w:p w:rsidR="00CC7284" w:rsidRPr="00CC7284" w:rsidRDefault="00CC7284" w:rsidP="00872B67">
      <w:pPr>
        <w:spacing w:after="0" w:line="240" w:lineRule="auto"/>
        <w:jc w:val="both"/>
        <w:rPr>
          <w:rFonts w:ascii="Times New Roman" w:eastAsia="Times New Roman" w:hAnsi="Times New Roman"/>
        </w:rPr>
      </w:pPr>
    </w:p>
    <w:p w:rsidR="00CC7284" w:rsidRPr="001C487B" w:rsidRDefault="00CC7284" w:rsidP="001C487B">
      <w:pPr>
        <w:autoSpaceDE w:val="0"/>
        <w:autoSpaceDN w:val="0"/>
        <w:spacing w:after="0" w:line="240" w:lineRule="auto"/>
        <w:rPr>
          <w:rFonts w:ascii="Times New Roman" w:hAnsi="Times New Roman"/>
          <w:color w:val="181818"/>
        </w:rPr>
      </w:pPr>
      <w:r w:rsidRPr="00CC7284">
        <w:rPr>
          <w:rFonts w:ascii="Times New Roman" w:hAnsi="Times New Roman"/>
          <w:color w:val="181818"/>
        </w:rPr>
        <w:t>While MnDOT has roughly 12,000 individual units within its fleet management database, many of those identify components such as a snow plow truck’s front plow, wing plow and sander for asset tracking purposes. </w:t>
      </w:r>
      <w:r w:rsidR="007D2A64">
        <w:rPr>
          <w:rFonts w:ascii="Times New Roman" w:hAnsi="Times New Roman"/>
          <w:color w:val="181818"/>
        </w:rPr>
        <w:t>MnDOT’s</w:t>
      </w:r>
      <w:r w:rsidRPr="00CC7284">
        <w:rPr>
          <w:rFonts w:ascii="Times New Roman" w:hAnsi="Times New Roman"/>
          <w:color w:val="181818"/>
        </w:rPr>
        <w:t xml:space="preserve"> performance metrics concentrate</w:t>
      </w:r>
      <w:r w:rsidR="00C91AAF">
        <w:rPr>
          <w:rFonts w:ascii="Times New Roman" w:hAnsi="Times New Roman"/>
          <w:color w:val="181818"/>
        </w:rPr>
        <w:t xml:space="preserve"> on the on-</w:t>
      </w:r>
      <w:r w:rsidRPr="00CC7284">
        <w:rPr>
          <w:rFonts w:ascii="Times New Roman" w:hAnsi="Times New Roman"/>
          <w:color w:val="181818"/>
        </w:rPr>
        <w:t xml:space="preserve">road fleet as well as some of the off-road heavy equipment. </w:t>
      </w:r>
      <w:r w:rsidR="00C91AAF">
        <w:rPr>
          <w:rFonts w:ascii="Times New Roman" w:hAnsi="Times New Roman"/>
          <w:color w:val="181818"/>
        </w:rPr>
        <w:t>T</w:t>
      </w:r>
      <w:r w:rsidRPr="00CC7284">
        <w:rPr>
          <w:rFonts w:ascii="Times New Roman" w:hAnsi="Times New Roman"/>
          <w:color w:val="181818"/>
        </w:rPr>
        <w:t xml:space="preserve">hat number </w:t>
      </w:r>
      <w:r w:rsidR="00C91AAF">
        <w:rPr>
          <w:rFonts w:ascii="Times New Roman" w:hAnsi="Times New Roman"/>
          <w:color w:val="181818"/>
        </w:rPr>
        <w:t>is currently</w:t>
      </w:r>
      <w:r w:rsidRPr="00CC7284">
        <w:rPr>
          <w:rFonts w:ascii="Times New Roman" w:hAnsi="Times New Roman"/>
          <w:color w:val="181818"/>
        </w:rPr>
        <w:t xml:space="preserve"> 3,361 units. This includes all of the passenger vehicles, as well as the larger trucks such as snow plows, aerial bucket trucks, guardrail trucks and off-road equipment such as wheel loaders, mot</w:t>
      </w:r>
      <w:r w:rsidR="00C91AAF">
        <w:rPr>
          <w:rFonts w:ascii="Times New Roman" w:hAnsi="Times New Roman"/>
          <w:color w:val="181818"/>
        </w:rPr>
        <w:t>or graders and mower tractors. </w:t>
      </w:r>
      <w:r w:rsidRPr="00CC7284">
        <w:rPr>
          <w:rFonts w:ascii="Times New Roman" w:hAnsi="Times New Roman"/>
          <w:color w:val="181818"/>
        </w:rPr>
        <w:t xml:space="preserve">(See </w:t>
      </w:r>
      <w:r w:rsidRPr="00CC7284">
        <w:rPr>
          <w:rFonts w:ascii="Times New Roman" w:hAnsi="Times New Roman"/>
          <w:i/>
          <w:color w:val="181818"/>
        </w:rPr>
        <w:t>Table 1</w:t>
      </w:r>
      <w:r w:rsidRPr="00CC7284">
        <w:rPr>
          <w:rFonts w:ascii="Times New Roman" w:hAnsi="Times New Roman"/>
          <w:color w:val="181818"/>
        </w:rPr>
        <w:t xml:space="preserve"> and </w:t>
      </w:r>
      <w:r w:rsidRPr="00CC7284">
        <w:rPr>
          <w:rFonts w:ascii="Times New Roman" w:hAnsi="Times New Roman"/>
          <w:i/>
          <w:color w:val="181818"/>
        </w:rPr>
        <w:t>Table 2</w:t>
      </w:r>
      <w:r w:rsidRPr="00CC7284">
        <w:rPr>
          <w:rFonts w:ascii="Times New Roman" w:hAnsi="Times New Roman"/>
          <w:color w:val="181818"/>
        </w:rPr>
        <w:t xml:space="preserve"> below</w:t>
      </w:r>
      <w:r w:rsidR="00C91AAF">
        <w:rPr>
          <w:rFonts w:ascii="Times New Roman" w:hAnsi="Times New Roman"/>
          <w:color w:val="181818"/>
        </w:rPr>
        <w:t>.</w:t>
      </w:r>
      <w:r w:rsidRPr="00CC7284">
        <w:rPr>
          <w:rFonts w:ascii="Times New Roman" w:hAnsi="Times New Roman"/>
          <w:color w:val="181818"/>
        </w:rPr>
        <w:t>)</w:t>
      </w:r>
    </w:p>
    <w:p w:rsidR="000F424E" w:rsidRDefault="000F424E" w:rsidP="00CC7284">
      <w:pPr>
        <w:spacing w:after="0" w:line="240" w:lineRule="auto"/>
        <w:ind w:left="720" w:firstLine="720"/>
        <w:jc w:val="both"/>
        <w:rPr>
          <w:rFonts w:ascii="Times New Roman" w:eastAsia="Times New Roman" w:hAnsi="Times New Roman"/>
          <w:i/>
        </w:rPr>
      </w:pPr>
    </w:p>
    <w:p w:rsidR="00CC7284" w:rsidRPr="00C91AAF" w:rsidRDefault="00CC7284" w:rsidP="00CC7284">
      <w:pPr>
        <w:spacing w:after="0" w:line="240" w:lineRule="auto"/>
        <w:ind w:left="720" w:firstLine="720"/>
        <w:jc w:val="both"/>
        <w:rPr>
          <w:rFonts w:ascii="Times New Roman" w:eastAsia="Times New Roman" w:hAnsi="Times New Roman"/>
          <w:i/>
        </w:rPr>
      </w:pPr>
      <w:r w:rsidRPr="00C91AAF">
        <w:rPr>
          <w:rFonts w:ascii="Times New Roman" w:eastAsia="Times New Roman" w:hAnsi="Times New Roman"/>
          <w:i/>
        </w:rPr>
        <w:lastRenderedPageBreak/>
        <w:t>Table 1</w:t>
      </w:r>
    </w:p>
    <w:p w:rsidR="00CC7284" w:rsidRPr="00CC7284" w:rsidRDefault="00CC7284" w:rsidP="00872B67">
      <w:pPr>
        <w:spacing w:after="0" w:line="240" w:lineRule="auto"/>
        <w:jc w:val="both"/>
        <w:rPr>
          <w:rFonts w:ascii="Times New Roman" w:eastAsia="Times New Roman" w:hAnsi="Times New Roman"/>
        </w:rPr>
      </w:pPr>
    </w:p>
    <w:p w:rsidR="00CC7284" w:rsidRDefault="00CC7284" w:rsidP="00872B67">
      <w:pPr>
        <w:spacing w:after="0" w:line="240" w:lineRule="auto"/>
        <w:jc w:val="both"/>
        <w:rPr>
          <w:rFonts w:ascii="Times New Roman" w:eastAsia="Times New Roman" w:hAnsi="Times New Roman"/>
        </w:rPr>
      </w:pPr>
      <w:r>
        <w:rPr>
          <w:noProof/>
        </w:rPr>
        <w:drawing>
          <wp:inline distT="0" distB="0" distL="0" distR="0" wp14:anchorId="5823D095" wp14:editId="7105DA5D">
            <wp:extent cx="6310265" cy="4472412"/>
            <wp:effectExtent l="0" t="0" r="0" b="44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C7284" w:rsidRDefault="00CC7284" w:rsidP="00872B67">
      <w:pPr>
        <w:spacing w:after="0" w:line="240" w:lineRule="auto"/>
        <w:jc w:val="both"/>
        <w:rPr>
          <w:rFonts w:ascii="Times New Roman" w:eastAsia="Times New Roman" w:hAnsi="Times New Roman"/>
        </w:rPr>
      </w:pPr>
    </w:p>
    <w:p w:rsidR="00CC7284" w:rsidRDefault="00CC7284" w:rsidP="00872B67">
      <w:pPr>
        <w:spacing w:after="0" w:line="240" w:lineRule="auto"/>
        <w:jc w:val="both"/>
        <w:rPr>
          <w:rFonts w:ascii="Times New Roman" w:eastAsia="Times New Roman" w:hAnsi="Times New Roman"/>
        </w:rPr>
      </w:pPr>
    </w:p>
    <w:p w:rsidR="00CC7284" w:rsidRPr="00C91AAF" w:rsidRDefault="00CC7284" w:rsidP="00CC7284">
      <w:pPr>
        <w:spacing w:after="0" w:line="240" w:lineRule="auto"/>
        <w:ind w:left="720" w:firstLine="720"/>
        <w:jc w:val="both"/>
        <w:rPr>
          <w:rFonts w:ascii="Times New Roman" w:eastAsia="Times New Roman" w:hAnsi="Times New Roman"/>
          <w:i/>
        </w:rPr>
      </w:pPr>
      <w:r w:rsidRPr="00C91AAF">
        <w:rPr>
          <w:rFonts w:ascii="Times New Roman" w:eastAsia="Times New Roman" w:hAnsi="Times New Roman"/>
          <w:i/>
        </w:rPr>
        <w:t>Table 2</w:t>
      </w:r>
    </w:p>
    <w:p w:rsidR="00CC7284" w:rsidRDefault="00CC7284" w:rsidP="001C487B">
      <w:pPr>
        <w:spacing w:after="0" w:line="240" w:lineRule="auto"/>
        <w:jc w:val="center"/>
        <w:rPr>
          <w:rFonts w:ascii="Times New Roman" w:eastAsia="Times New Roman" w:hAnsi="Times New Roman"/>
        </w:rPr>
      </w:pPr>
      <w:r>
        <w:rPr>
          <w:noProof/>
        </w:rPr>
        <w:drawing>
          <wp:inline distT="0" distB="0" distL="0" distR="0" wp14:anchorId="7A26519B" wp14:editId="2B15A9FC">
            <wp:extent cx="5775042" cy="2943860"/>
            <wp:effectExtent l="0" t="0" r="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7284" w:rsidRDefault="00CC7284" w:rsidP="00872B67">
      <w:pPr>
        <w:spacing w:after="0" w:line="240" w:lineRule="auto"/>
        <w:jc w:val="both"/>
        <w:rPr>
          <w:rFonts w:ascii="Times New Roman" w:eastAsia="Times New Roman" w:hAnsi="Times New Roman"/>
        </w:rPr>
      </w:pPr>
    </w:p>
    <w:p w:rsidR="00CC7284" w:rsidRDefault="00CC7284" w:rsidP="00872B67">
      <w:pPr>
        <w:spacing w:after="0" w:line="240" w:lineRule="auto"/>
        <w:jc w:val="both"/>
        <w:rPr>
          <w:rFonts w:ascii="Times New Roman" w:eastAsia="Times New Roman" w:hAnsi="Times New Roman"/>
        </w:rPr>
      </w:pPr>
    </w:p>
    <w:p w:rsidR="00CC7284" w:rsidRPr="00C91AAF" w:rsidRDefault="00C91AAF" w:rsidP="00C91AAF">
      <w:pPr>
        <w:autoSpaceDE w:val="0"/>
        <w:autoSpaceDN w:val="0"/>
        <w:spacing w:after="0" w:line="240" w:lineRule="auto"/>
        <w:rPr>
          <w:rFonts w:ascii="Times New Roman" w:hAnsi="Times New Roman"/>
          <w:color w:val="181818"/>
        </w:rPr>
      </w:pPr>
      <w:r>
        <w:rPr>
          <w:rFonts w:ascii="Times New Roman" w:hAnsi="Times New Roman"/>
          <w:color w:val="181818"/>
        </w:rPr>
        <w:t>MnDOT tracks</w:t>
      </w:r>
      <w:r w:rsidR="00CC7284" w:rsidRPr="00C91AAF">
        <w:rPr>
          <w:rFonts w:ascii="Times New Roman" w:hAnsi="Times New Roman"/>
          <w:color w:val="181818"/>
        </w:rPr>
        <w:t xml:space="preserve"> vehicles w</w:t>
      </w:r>
      <w:r>
        <w:rPr>
          <w:rFonts w:ascii="Times New Roman" w:hAnsi="Times New Roman"/>
          <w:color w:val="181818"/>
        </w:rPr>
        <w:t>hich are either classified as “assigned” or “take h</w:t>
      </w:r>
      <w:r w:rsidR="00CC7284" w:rsidRPr="00C91AAF">
        <w:rPr>
          <w:rFonts w:ascii="Times New Roman" w:hAnsi="Times New Roman"/>
          <w:color w:val="181818"/>
        </w:rPr>
        <w:t>ome</w:t>
      </w:r>
      <w:r w:rsidR="007D2A64">
        <w:rPr>
          <w:rFonts w:ascii="Times New Roman" w:hAnsi="Times New Roman"/>
          <w:color w:val="181818"/>
        </w:rPr>
        <w:t>,</w:t>
      </w:r>
      <w:r w:rsidR="00CC7284" w:rsidRPr="00C91AAF">
        <w:rPr>
          <w:rFonts w:ascii="Times New Roman" w:hAnsi="Times New Roman"/>
          <w:color w:val="181818"/>
        </w:rPr>
        <w:t xml:space="preserve">” in </w:t>
      </w:r>
      <w:r w:rsidR="005C5CE7">
        <w:rPr>
          <w:rFonts w:ascii="Times New Roman" w:hAnsi="Times New Roman"/>
          <w:color w:val="181818"/>
        </w:rPr>
        <w:t>compliance</w:t>
      </w:r>
      <w:r w:rsidR="00CC7284" w:rsidRPr="00C91AAF">
        <w:rPr>
          <w:rFonts w:ascii="Times New Roman" w:hAnsi="Times New Roman"/>
          <w:color w:val="181818"/>
        </w:rPr>
        <w:t xml:space="preserve"> with MnDOT policies and procedures as well as state statute. </w:t>
      </w:r>
      <w:r>
        <w:rPr>
          <w:rFonts w:ascii="Times New Roman" w:hAnsi="Times New Roman"/>
          <w:color w:val="181818"/>
        </w:rPr>
        <w:t>In</w:t>
      </w:r>
      <w:r w:rsidR="00CC7284" w:rsidRPr="00C91AAF">
        <w:rPr>
          <w:rFonts w:ascii="Times New Roman" w:hAnsi="Times New Roman"/>
          <w:color w:val="181818"/>
        </w:rPr>
        <w:t xml:space="preserve"> the </w:t>
      </w:r>
      <w:r>
        <w:rPr>
          <w:rFonts w:ascii="Times New Roman" w:hAnsi="Times New Roman"/>
          <w:color w:val="181818"/>
        </w:rPr>
        <w:t xml:space="preserve">fourth quarter of calendar year </w:t>
      </w:r>
      <w:r w:rsidR="00CC7284" w:rsidRPr="00C91AAF">
        <w:rPr>
          <w:rFonts w:ascii="Times New Roman" w:hAnsi="Times New Roman"/>
          <w:color w:val="181818"/>
        </w:rPr>
        <w:t>2016</w:t>
      </w:r>
      <w:r w:rsidR="0011369E">
        <w:rPr>
          <w:rFonts w:ascii="Times New Roman" w:hAnsi="Times New Roman"/>
          <w:color w:val="181818"/>
        </w:rPr>
        <w:t>,</w:t>
      </w:r>
      <w:r w:rsidR="00CC7284" w:rsidRPr="00C91AAF">
        <w:rPr>
          <w:rFonts w:ascii="Times New Roman" w:hAnsi="Times New Roman"/>
          <w:color w:val="181818"/>
        </w:rPr>
        <w:t xml:space="preserve"> the number of unit</w:t>
      </w:r>
      <w:r>
        <w:rPr>
          <w:rFonts w:ascii="Times New Roman" w:hAnsi="Times New Roman"/>
          <w:color w:val="181818"/>
        </w:rPr>
        <w:t>s listed as either “a</w:t>
      </w:r>
      <w:r w:rsidR="00CC7284" w:rsidRPr="00C91AAF">
        <w:rPr>
          <w:rFonts w:ascii="Times New Roman" w:hAnsi="Times New Roman"/>
          <w:color w:val="181818"/>
        </w:rPr>
        <w:t>ssigned” (</w:t>
      </w:r>
      <w:r w:rsidR="00BC06FC">
        <w:rPr>
          <w:rFonts w:ascii="Times New Roman" w:hAnsi="Times New Roman"/>
          <w:color w:val="181818"/>
        </w:rPr>
        <w:t>228</w:t>
      </w:r>
      <w:r w:rsidR="00CC7284" w:rsidRPr="00C91AAF">
        <w:rPr>
          <w:rFonts w:ascii="Times New Roman" w:hAnsi="Times New Roman"/>
          <w:color w:val="181818"/>
        </w:rPr>
        <w:t>) or deemed “</w:t>
      </w:r>
      <w:r>
        <w:rPr>
          <w:rFonts w:ascii="Times New Roman" w:hAnsi="Times New Roman"/>
          <w:color w:val="181818"/>
        </w:rPr>
        <w:t>take h</w:t>
      </w:r>
      <w:r w:rsidR="00CC7284" w:rsidRPr="00C91AAF">
        <w:rPr>
          <w:rFonts w:ascii="Times New Roman" w:hAnsi="Times New Roman"/>
          <w:color w:val="181818"/>
        </w:rPr>
        <w:t>ome” (</w:t>
      </w:r>
      <w:r w:rsidR="00BC06FC">
        <w:rPr>
          <w:rFonts w:ascii="Times New Roman" w:hAnsi="Times New Roman"/>
          <w:color w:val="181818"/>
        </w:rPr>
        <w:t>140</w:t>
      </w:r>
      <w:r w:rsidR="00CC7284" w:rsidRPr="00C91AAF">
        <w:rPr>
          <w:rFonts w:ascii="Times New Roman" w:hAnsi="Times New Roman"/>
          <w:color w:val="181818"/>
        </w:rPr>
        <w:t xml:space="preserve">) was 368. Previous years are listed below as well. (See </w:t>
      </w:r>
      <w:r w:rsidR="00CC7284" w:rsidRPr="00C91AAF">
        <w:rPr>
          <w:rFonts w:ascii="Times New Roman" w:hAnsi="Times New Roman"/>
          <w:i/>
          <w:color w:val="181818"/>
        </w:rPr>
        <w:t>Table 3</w:t>
      </w:r>
      <w:r w:rsidR="00CC7284" w:rsidRPr="00C91AAF">
        <w:rPr>
          <w:rFonts w:ascii="Times New Roman" w:hAnsi="Times New Roman"/>
          <w:color w:val="181818"/>
        </w:rPr>
        <w:t xml:space="preserve"> below</w:t>
      </w:r>
      <w:r>
        <w:rPr>
          <w:rFonts w:ascii="Times New Roman" w:hAnsi="Times New Roman"/>
          <w:color w:val="181818"/>
        </w:rPr>
        <w:t>.</w:t>
      </w:r>
      <w:r w:rsidR="00CC7284" w:rsidRPr="00C91AAF">
        <w:rPr>
          <w:rFonts w:ascii="Times New Roman" w:hAnsi="Times New Roman"/>
          <w:color w:val="181818"/>
        </w:rPr>
        <w:t>)</w:t>
      </w:r>
    </w:p>
    <w:p w:rsidR="00CC7284" w:rsidRDefault="00CC7284" w:rsidP="00CC7284">
      <w:pPr>
        <w:autoSpaceDE w:val="0"/>
        <w:autoSpaceDN w:val="0"/>
        <w:spacing w:after="0" w:line="240" w:lineRule="auto"/>
        <w:ind w:left="720"/>
        <w:rPr>
          <w:rFonts w:ascii="Arial" w:hAnsi="Arial" w:cs="Arial"/>
          <w:color w:val="181818"/>
        </w:rPr>
      </w:pPr>
    </w:p>
    <w:p w:rsidR="00CC7284" w:rsidRPr="00080455" w:rsidRDefault="00CC7284" w:rsidP="00CC7284">
      <w:pPr>
        <w:autoSpaceDE w:val="0"/>
        <w:autoSpaceDN w:val="0"/>
        <w:spacing w:after="0" w:line="240" w:lineRule="auto"/>
        <w:ind w:left="720"/>
        <w:rPr>
          <w:rFonts w:ascii="Times New Roman" w:hAnsi="Times New Roman"/>
          <w:i/>
          <w:color w:val="181818"/>
        </w:rPr>
      </w:pPr>
      <w:r>
        <w:rPr>
          <w:rFonts w:ascii="Arial" w:hAnsi="Arial" w:cs="Arial"/>
          <w:color w:val="181818"/>
        </w:rPr>
        <w:tab/>
      </w:r>
      <w:r w:rsidRPr="00080455">
        <w:rPr>
          <w:rFonts w:ascii="Times New Roman" w:hAnsi="Times New Roman"/>
          <w:i/>
          <w:color w:val="181818"/>
        </w:rPr>
        <w:t>Table 3</w:t>
      </w:r>
    </w:p>
    <w:p w:rsidR="00CC7284" w:rsidRDefault="00CC7284" w:rsidP="00872B67">
      <w:pPr>
        <w:spacing w:after="0" w:line="240" w:lineRule="auto"/>
        <w:jc w:val="both"/>
        <w:rPr>
          <w:rFonts w:ascii="Times New Roman" w:eastAsia="Times New Roman" w:hAnsi="Times New Roman"/>
        </w:rPr>
      </w:pPr>
    </w:p>
    <w:p w:rsidR="00CC7284" w:rsidRDefault="00CC7284" w:rsidP="00872B67">
      <w:pPr>
        <w:spacing w:after="0" w:line="240" w:lineRule="auto"/>
        <w:jc w:val="both"/>
        <w:rPr>
          <w:rFonts w:ascii="Times New Roman" w:eastAsia="Times New Roman" w:hAnsi="Times New Roman"/>
        </w:rPr>
      </w:pPr>
      <w:r>
        <w:rPr>
          <w:noProof/>
        </w:rPr>
        <w:drawing>
          <wp:inline distT="0" distB="0" distL="0" distR="0" wp14:anchorId="10F92ACE" wp14:editId="41EBE6E5">
            <wp:extent cx="6438900" cy="2254313"/>
            <wp:effectExtent l="0" t="0" r="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C7284" w:rsidRDefault="00CC7284" w:rsidP="00872B67">
      <w:pPr>
        <w:spacing w:after="0" w:line="240" w:lineRule="auto"/>
        <w:jc w:val="both"/>
        <w:rPr>
          <w:rFonts w:ascii="Times New Roman" w:eastAsia="Times New Roman" w:hAnsi="Times New Roman"/>
        </w:rPr>
      </w:pPr>
    </w:p>
    <w:p w:rsidR="00CC7284" w:rsidRPr="00B0051E" w:rsidRDefault="00CC7284" w:rsidP="00872B67">
      <w:pPr>
        <w:spacing w:after="0" w:line="240" w:lineRule="auto"/>
        <w:jc w:val="both"/>
        <w:rPr>
          <w:rFonts w:ascii="Times New Roman" w:eastAsia="Times New Roman" w:hAnsi="Times New Roman"/>
        </w:rPr>
      </w:pPr>
    </w:p>
    <w:p w:rsidR="00872B67" w:rsidRPr="00C91AAF" w:rsidRDefault="00872B67" w:rsidP="00872B67">
      <w:pPr>
        <w:pStyle w:val="ListParagraph"/>
        <w:numPr>
          <w:ilvl w:val="0"/>
          <w:numId w:val="18"/>
        </w:numPr>
        <w:spacing w:after="0" w:line="240" w:lineRule="auto"/>
        <w:jc w:val="both"/>
        <w:rPr>
          <w:rFonts w:ascii="Times New Roman" w:eastAsia="Times New Roman" w:hAnsi="Times New Roman"/>
          <w:b/>
        </w:rPr>
      </w:pPr>
      <w:r w:rsidRPr="00C91AAF">
        <w:rPr>
          <w:rFonts w:ascii="Times New Roman" w:eastAsia="Times New Roman" w:hAnsi="Times New Roman"/>
          <w:b/>
        </w:rPr>
        <w:t>Please detail any pending lawsuits against the agency or any lawsuits initiated by the agency, including union grievances. Provide a description of the lawsuit, a list of the parties of each lawsuit, the Court jurisdiction, any timelines, and the estimated cost of each lawsuit.</w:t>
      </w:r>
    </w:p>
    <w:p w:rsidR="00872B67" w:rsidRPr="00B0051E" w:rsidRDefault="00872B67" w:rsidP="00872B67">
      <w:pPr>
        <w:spacing w:after="0" w:line="240" w:lineRule="auto"/>
        <w:rPr>
          <w:rFonts w:ascii="Times New Roman" w:eastAsia="Times New Roman" w:hAnsi="Times New Roman"/>
        </w:rPr>
      </w:pPr>
    </w:p>
    <w:p w:rsidR="005B1C22" w:rsidRPr="005B1C22" w:rsidRDefault="005B1C22" w:rsidP="005C5CE7">
      <w:pPr>
        <w:rPr>
          <w:rFonts w:ascii="Times New Roman" w:hAnsi="Times New Roman"/>
        </w:rPr>
      </w:pPr>
      <w:r>
        <w:rPr>
          <w:rFonts w:ascii="Times New Roman" w:hAnsi="Times New Roman"/>
        </w:rPr>
        <w:t>MnDOT</w:t>
      </w:r>
      <w:r w:rsidRPr="005B1C22">
        <w:rPr>
          <w:rFonts w:ascii="Times New Roman" w:hAnsi="Times New Roman"/>
        </w:rPr>
        <w:t xml:space="preserve"> is currently the </w:t>
      </w:r>
      <w:r>
        <w:rPr>
          <w:rFonts w:ascii="Times New Roman" w:hAnsi="Times New Roman"/>
        </w:rPr>
        <w:t>d</w:t>
      </w:r>
      <w:r w:rsidRPr="005B1C22">
        <w:rPr>
          <w:rFonts w:ascii="Times New Roman" w:hAnsi="Times New Roman"/>
        </w:rPr>
        <w:t xml:space="preserve">efendant in 14 matters filed with </w:t>
      </w:r>
      <w:r>
        <w:rPr>
          <w:rFonts w:ascii="Times New Roman" w:hAnsi="Times New Roman"/>
        </w:rPr>
        <w:t>s</w:t>
      </w:r>
      <w:r w:rsidRPr="005B1C22">
        <w:rPr>
          <w:rFonts w:ascii="Times New Roman" w:hAnsi="Times New Roman"/>
        </w:rPr>
        <w:t xml:space="preserve">tate or </w:t>
      </w:r>
      <w:r>
        <w:rPr>
          <w:rFonts w:ascii="Times New Roman" w:hAnsi="Times New Roman"/>
        </w:rPr>
        <w:t>f</w:t>
      </w:r>
      <w:r w:rsidRPr="005B1C22">
        <w:rPr>
          <w:rFonts w:ascii="Times New Roman" w:hAnsi="Times New Roman"/>
        </w:rPr>
        <w:t xml:space="preserve">ederal </w:t>
      </w:r>
      <w:r>
        <w:rPr>
          <w:rFonts w:ascii="Times New Roman" w:hAnsi="Times New Roman"/>
        </w:rPr>
        <w:t>courts. The department</w:t>
      </w:r>
      <w:r w:rsidRPr="005B1C22">
        <w:rPr>
          <w:rFonts w:ascii="Times New Roman" w:hAnsi="Times New Roman"/>
        </w:rPr>
        <w:t xml:space="preserve"> has also been named as a potenti</w:t>
      </w:r>
      <w:r>
        <w:rPr>
          <w:rFonts w:ascii="Times New Roman" w:hAnsi="Times New Roman"/>
        </w:rPr>
        <w:t xml:space="preserve">ally injured party in a single </w:t>
      </w:r>
      <w:r w:rsidRPr="005C5CE7">
        <w:rPr>
          <w:rFonts w:ascii="Times New Roman" w:hAnsi="Times New Roman"/>
          <w:i/>
        </w:rPr>
        <w:t>qui tam</w:t>
      </w:r>
      <w:r w:rsidRPr="005B1C22">
        <w:rPr>
          <w:rFonts w:ascii="Times New Roman" w:hAnsi="Times New Roman"/>
        </w:rPr>
        <w:t xml:space="preserve"> action filed in </w:t>
      </w:r>
      <w:r>
        <w:rPr>
          <w:rFonts w:ascii="Times New Roman" w:hAnsi="Times New Roman"/>
        </w:rPr>
        <w:t>f</w:t>
      </w:r>
      <w:r w:rsidRPr="005B1C22">
        <w:rPr>
          <w:rFonts w:ascii="Times New Roman" w:hAnsi="Times New Roman"/>
        </w:rPr>
        <w:t xml:space="preserve">ederal </w:t>
      </w:r>
      <w:r>
        <w:rPr>
          <w:rFonts w:ascii="Times New Roman" w:hAnsi="Times New Roman"/>
        </w:rPr>
        <w:t>court (a</w:t>
      </w:r>
      <w:r w:rsidRPr="005B1C22">
        <w:rPr>
          <w:rFonts w:ascii="Times New Roman" w:hAnsi="Times New Roman"/>
        </w:rPr>
        <w:t xml:space="preserve"> </w:t>
      </w:r>
      <w:r w:rsidRPr="005C5CE7">
        <w:rPr>
          <w:rFonts w:ascii="Times New Roman" w:hAnsi="Times New Roman"/>
          <w:i/>
        </w:rPr>
        <w:t>qui tam</w:t>
      </w:r>
      <w:r w:rsidRPr="005B1C22">
        <w:rPr>
          <w:rFonts w:ascii="Times New Roman" w:hAnsi="Times New Roman"/>
        </w:rPr>
        <w:t xml:space="preserve"> action is a lawsuit brought by a </w:t>
      </w:r>
      <w:r>
        <w:rPr>
          <w:rFonts w:ascii="Times New Roman" w:hAnsi="Times New Roman"/>
        </w:rPr>
        <w:t>third</w:t>
      </w:r>
      <w:r w:rsidRPr="005B1C22">
        <w:rPr>
          <w:rFonts w:ascii="Times New Roman" w:hAnsi="Times New Roman"/>
        </w:rPr>
        <w:t xml:space="preserve"> party on behalf of the government allegi</w:t>
      </w:r>
      <w:r>
        <w:rPr>
          <w:rFonts w:ascii="Times New Roman" w:hAnsi="Times New Roman"/>
        </w:rPr>
        <w:t>ng a harm to the government). </w:t>
      </w:r>
      <w:r w:rsidR="007D2A64">
        <w:rPr>
          <w:rFonts w:ascii="Times New Roman" w:hAnsi="Times New Roman"/>
        </w:rPr>
        <w:t xml:space="preserve">There are no current cases in which </w:t>
      </w:r>
      <w:r w:rsidRPr="005B1C22">
        <w:rPr>
          <w:rFonts w:ascii="Times New Roman" w:hAnsi="Times New Roman"/>
        </w:rPr>
        <w:t xml:space="preserve">MnDOT has sued any party in </w:t>
      </w:r>
      <w:r>
        <w:rPr>
          <w:rFonts w:ascii="Times New Roman" w:hAnsi="Times New Roman"/>
        </w:rPr>
        <w:t>s</w:t>
      </w:r>
      <w:r w:rsidRPr="005B1C22">
        <w:rPr>
          <w:rFonts w:ascii="Times New Roman" w:hAnsi="Times New Roman"/>
        </w:rPr>
        <w:t xml:space="preserve">tate or </w:t>
      </w:r>
      <w:r>
        <w:rPr>
          <w:rFonts w:ascii="Times New Roman" w:hAnsi="Times New Roman"/>
        </w:rPr>
        <w:t>federal c</w:t>
      </w:r>
      <w:r w:rsidRPr="005B1C22">
        <w:rPr>
          <w:rFonts w:ascii="Times New Roman" w:hAnsi="Times New Roman"/>
        </w:rPr>
        <w:t xml:space="preserve">ourt. Every case is unique and it is </w:t>
      </w:r>
      <w:r w:rsidR="005C5CE7">
        <w:rPr>
          <w:rFonts w:ascii="Times New Roman" w:hAnsi="Times New Roman"/>
        </w:rPr>
        <w:t>im</w:t>
      </w:r>
      <w:r w:rsidRPr="005B1C22">
        <w:rPr>
          <w:rFonts w:ascii="Times New Roman" w:hAnsi="Times New Roman"/>
        </w:rPr>
        <w:t>possible to accurately estimate the course litigation will follow</w:t>
      </w:r>
      <w:r w:rsidR="005C5CE7">
        <w:rPr>
          <w:rFonts w:ascii="Times New Roman" w:hAnsi="Times New Roman"/>
        </w:rPr>
        <w:t xml:space="preserve"> or</w:t>
      </w:r>
      <w:r w:rsidRPr="005B1C22">
        <w:rPr>
          <w:rFonts w:ascii="Times New Roman" w:hAnsi="Times New Roman"/>
        </w:rPr>
        <w:t xml:space="preserve"> ide</w:t>
      </w:r>
      <w:r>
        <w:rPr>
          <w:rFonts w:ascii="Times New Roman" w:hAnsi="Times New Roman"/>
        </w:rPr>
        <w:t xml:space="preserve">ntify how </w:t>
      </w:r>
      <w:r w:rsidR="005C5CE7">
        <w:rPr>
          <w:rFonts w:ascii="Times New Roman" w:hAnsi="Times New Roman"/>
        </w:rPr>
        <w:t>it</w:t>
      </w:r>
      <w:r>
        <w:rPr>
          <w:rFonts w:ascii="Times New Roman" w:hAnsi="Times New Roman"/>
        </w:rPr>
        <w:t xml:space="preserve"> will end. </w:t>
      </w:r>
      <w:r w:rsidR="005C5CE7">
        <w:rPr>
          <w:rFonts w:ascii="Times New Roman" w:hAnsi="Times New Roman"/>
        </w:rPr>
        <w:t>Nor is it</w:t>
      </w:r>
      <w:r w:rsidRPr="005B1C22">
        <w:rPr>
          <w:rFonts w:ascii="Times New Roman" w:hAnsi="Times New Roman"/>
        </w:rPr>
        <w:t xml:space="preserve"> possible to accurately estimate the timeline or cost of the cases identified below.   </w:t>
      </w:r>
    </w:p>
    <w:tbl>
      <w:tblPr>
        <w:tblW w:w="9220" w:type="dxa"/>
        <w:tblInd w:w="2" w:type="dxa"/>
        <w:tblCellMar>
          <w:left w:w="0" w:type="dxa"/>
          <w:right w:w="0" w:type="dxa"/>
        </w:tblCellMar>
        <w:tblLook w:val="04A0" w:firstRow="1" w:lastRow="0" w:firstColumn="1" w:lastColumn="0" w:noHBand="0" w:noVBand="1"/>
      </w:tblPr>
      <w:tblGrid>
        <w:gridCol w:w="1840"/>
        <w:gridCol w:w="5480"/>
        <w:gridCol w:w="1900"/>
      </w:tblGrid>
      <w:tr w:rsidR="005B1C22" w:rsidRPr="005B1C22" w:rsidTr="008024BD">
        <w:trPr>
          <w:trHeight w:val="315"/>
        </w:trPr>
        <w:tc>
          <w:tcPr>
            <w:tcW w:w="18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b/>
                <w:bCs/>
              </w:rPr>
            </w:pPr>
            <w:r w:rsidRPr="005B1C22">
              <w:rPr>
                <w:rFonts w:ascii="Times New Roman" w:hAnsi="Times New Roman"/>
                <w:b/>
                <w:bCs/>
              </w:rPr>
              <w:t>Plaintiff</w:t>
            </w:r>
          </w:p>
        </w:tc>
        <w:tc>
          <w:tcPr>
            <w:tcW w:w="54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b/>
                <w:bCs/>
              </w:rPr>
            </w:pPr>
            <w:r w:rsidRPr="005B1C22">
              <w:rPr>
                <w:rFonts w:ascii="Times New Roman" w:hAnsi="Times New Roman"/>
                <w:b/>
                <w:bCs/>
              </w:rPr>
              <w:t>Summary</w:t>
            </w:r>
          </w:p>
        </w:tc>
        <w:tc>
          <w:tcPr>
            <w:tcW w:w="19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b/>
                <w:bCs/>
              </w:rPr>
            </w:pPr>
            <w:r w:rsidRPr="005B1C22">
              <w:rPr>
                <w:rFonts w:ascii="Times New Roman" w:hAnsi="Times New Roman"/>
                <w:b/>
                <w:bCs/>
              </w:rPr>
              <w:t>Jurisdiction</w:t>
            </w:r>
          </w:p>
        </w:tc>
      </w:tr>
      <w:tr w:rsidR="005B1C22" w:rsidRPr="005B1C22" w:rsidTr="008024BD">
        <w:trPr>
          <w:trHeight w:val="6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Ursula Wachowiak </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Plaintiff alleges MnDOT contributed to the injuries she sustained during a crash.</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Ramsey County District Court</w:t>
            </w:r>
          </w:p>
        </w:tc>
      </w:tr>
      <w:tr w:rsidR="005B1C22" w:rsidRPr="005B1C22" w:rsidTr="008024BD">
        <w:trPr>
          <w:trHeight w:val="9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Joshua Harman</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Qui Tam action against Trinity Industries citing Minnesota False Claims statutes. Plaintiff alleges product is unsafe and improperly safety tested. </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Federal Court </w:t>
            </w:r>
          </w:p>
        </w:tc>
      </w:tr>
      <w:tr w:rsidR="005B1C22" w:rsidRPr="005B1C22" w:rsidTr="008024BD">
        <w:trPr>
          <w:trHeight w:val="6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Frank &amp; Bonnie Kottschade </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Complex litigation related to the construction of TH 52 in Rochester.</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Minnesota Court of Appeals</w:t>
            </w:r>
          </w:p>
        </w:tc>
      </w:tr>
      <w:tr w:rsidR="005B1C22" w:rsidRPr="005B1C22" w:rsidTr="008024BD">
        <w:trPr>
          <w:trHeight w:val="6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Cannon Falls Oil Co. </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Complex litigation related to the construction of TH 52 in Rochester.</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Minnesota Court of Appeals</w:t>
            </w:r>
          </w:p>
        </w:tc>
      </w:tr>
      <w:tr w:rsidR="005B1C22" w:rsidRPr="005B1C22" w:rsidTr="008024BD">
        <w:trPr>
          <w:trHeight w:val="6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lastRenderedPageBreak/>
              <w:t xml:space="preserve">Mark Sand &amp; Gravel </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Contract dispute regarding site conditions.</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Becker County District Court</w:t>
            </w:r>
          </w:p>
        </w:tc>
      </w:tr>
      <w:tr w:rsidR="005B1C22" w:rsidRPr="005B1C22" w:rsidTr="008024BD">
        <w:trPr>
          <w:trHeight w:val="6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Vermillion State Bank </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Mandamus action related to the construction of TH 52.</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Minnesota Court of Appeals</w:t>
            </w:r>
          </w:p>
        </w:tc>
      </w:tr>
      <w:tr w:rsidR="005B1C22" w:rsidRPr="005B1C22" w:rsidTr="008024BD">
        <w:trPr>
          <w:trHeight w:val="6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Katelyn Ross </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Plaintiff alleges MnDOT contributed to the injuries she sustained during a crash.</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Ramsey County District Court</w:t>
            </w:r>
          </w:p>
        </w:tc>
      </w:tr>
      <w:tr w:rsidR="005B1C22" w:rsidRPr="005B1C22" w:rsidTr="008024BD">
        <w:trPr>
          <w:trHeight w:val="12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Abu Kamara </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MN Department of Human Services employee Abu Kamara has commenced a putative collective and class action lawsuit against the State of Minnesota, including MnDOT and other state agencies.</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Federal Court </w:t>
            </w:r>
          </w:p>
        </w:tc>
      </w:tr>
      <w:tr w:rsidR="005B1C22" w:rsidRPr="005B1C22" w:rsidTr="008024BD">
        <w:trPr>
          <w:trHeight w:val="6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Minn-Dak</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2011 state government shutdown related litigation.</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Ramsey County District Court</w:t>
            </w:r>
          </w:p>
        </w:tc>
      </w:tr>
      <w:tr w:rsidR="005B1C22" w:rsidRPr="005B1C22" w:rsidTr="008024BD">
        <w:trPr>
          <w:trHeight w:val="12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B&amp;D Property Holdings and Steven and Jody Looney</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Lawsuit against the City of St. Louis Park and MnDOT related to the reconstruction of TH 7. </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Hennepin County District Court</w:t>
            </w:r>
          </w:p>
        </w:tc>
      </w:tr>
      <w:tr w:rsidR="005B1C22" w:rsidRPr="005B1C22" w:rsidTr="008024BD">
        <w:trPr>
          <w:trHeight w:val="9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Larry and Penelope Aanenson</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Litigation related to the 2014 construction of TH 62 in Fulda Minnesota. </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Murray County District Court</w:t>
            </w:r>
          </w:p>
        </w:tc>
      </w:tr>
      <w:tr w:rsidR="005B1C22" w:rsidRPr="005B1C22" w:rsidTr="008024BD">
        <w:trPr>
          <w:trHeight w:val="12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Trent Olson  </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br/>
              <w:t xml:space="preserve">Plaintiff alleges Minnesota and Shafer Contracting are responsible for injuries sustained during a bicycle crash.  </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Dakota County District Court</w:t>
            </w:r>
          </w:p>
        </w:tc>
      </w:tr>
      <w:tr w:rsidR="005B1C22" w:rsidRPr="005B1C22" w:rsidTr="008024BD">
        <w:trPr>
          <w:trHeight w:val="6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Tyler Morgan</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Plaintiff alleges MnDOT contributed to the injuries he sustained during a crash.</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Freeborn County District Court</w:t>
            </w:r>
          </w:p>
        </w:tc>
      </w:tr>
      <w:tr w:rsidR="005B1C22" w:rsidRPr="005B1C22" w:rsidTr="008024BD">
        <w:trPr>
          <w:trHeight w:val="9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Minnesota Meeting Rooms, Inc. (MMRI) </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Mandamus action related to the construction of TH 62 in Minneapolis. </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Hennepin County District Court</w:t>
            </w:r>
          </w:p>
        </w:tc>
      </w:tr>
      <w:tr w:rsidR="005B1C22" w:rsidRPr="005B1C22" w:rsidTr="00080455">
        <w:trPr>
          <w:trHeight w:val="700"/>
        </w:trPr>
        <w:tc>
          <w:tcPr>
            <w:tcW w:w="1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 xml:space="preserve">PCH Development, LLC and Paws, Claws, and Hooves Pet Boarding, LLC </w:t>
            </w:r>
          </w:p>
        </w:tc>
        <w:tc>
          <w:tcPr>
            <w:tcW w:w="5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Mandamus action related to the potential future construction of the TH 101.</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C22" w:rsidRPr="005B1C22" w:rsidRDefault="005B1C22" w:rsidP="008024BD">
            <w:pPr>
              <w:rPr>
                <w:rFonts w:ascii="Times New Roman" w:hAnsi="Times New Roman"/>
              </w:rPr>
            </w:pPr>
            <w:r w:rsidRPr="005B1C22">
              <w:rPr>
                <w:rFonts w:ascii="Times New Roman" w:hAnsi="Times New Roman"/>
              </w:rPr>
              <w:t>Carver County District Court</w:t>
            </w:r>
          </w:p>
        </w:tc>
      </w:tr>
    </w:tbl>
    <w:p w:rsidR="005C5CE7" w:rsidRDefault="005C5CE7" w:rsidP="00B0051E">
      <w:pPr>
        <w:rPr>
          <w:rFonts w:ascii="Times New Roman" w:hAnsi="Times New Roman"/>
        </w:rPr>
      </w:pPr>
    </w:p>
    <w:p w:rsidR="005C5CE7" w:rsidRPr="00B0051E" w:rsidRDefault="005C5CE7" w:rsidP="00B0051E">
      <w:pPr>
        <w:rPr>
          <w:rFonts w:ascii="Times New Roman" w:hAnsi="Times New Roman"/>
        </w:rPr>
      </w:pPr>
      <w:r w:rsidRPr="005B1C22">
        <w:rPr>
          <w:rFonts w:ascii="Times New Roman" w:hAnsi="Times New Roman"/>
        </w:rPr>
        <w:lastRenderedPageBreak/>
        <w:t>In addition to the litigation ide</w:t>
      </w:r>
      <w:r>
        <w:rPr>
          <w:rFonts w:ascii="Times New Roman" w:hAnsi="Times New Roman"/>
        </w:rPr>
        <w:t>ntified above, using a five-</w:t>
      </w:r>
      <w:r w:rsidRPr="005B1C22">
        <w:rPr>
          <w:rFonts w:ascii="Times New Roman" w:hAnsi="Times New Roman"/>
        </w:rPr>
        <w:t xml:space="preserve">year average, </w:t>
      </w:r>
      <w:r>
        <w:rPr>
          <w:rFonts w:ascii="Times New Roman" w:hAnsi="Times New Roman"/>
        </w:rPr>
        <w:t>MnDOT acquires 92 parcels through condemnation per year at an average annual cost of $21.57 million.</w:t>
      </w:r>
      <w:r w:rsidRPr="005B1C22">
        <w:rPr>
          <w:rFonts w:ascii="Times New Roman" w:hAnsi="Times New Roman"/>
        </w:rPr>
        <w:t> </w:t>
      </w:r>
      <w:r>
        <w:rPr>
          <w:rFonts w:ascii="Times New Roman" w:hAnsi="Times New Roman"/>
        </w:rPr>
        <w:t xml:space="preserve">This does not include attorney’s fees, expert witness fees or interest. </w:t>
      </w:r>
      <w:r w:rsidRPr="005B1C22">
        <w:rPr>
          <w:rFonts w:ascii="Times New Roman" w:hAnsi="Times New Roman"/>
        </w:rPr>
        <w:t xml:space="preserve"> </w:t>
      </w:r>
    </w:p>
    <w:p w:rsidR="00B0051E" w:rsidRPr="00B0051E" w:rsidRDefault="00B0051E" w:rsidP="005C5CE7">
      <w:pPr>
        <w:rPr>
          <w:rFonts w:ascii="Times New Roman" w:hAnsi="Times New Roman"/>
        </w:rPr>
      </w:pPr>
      <w:r w:rsidRPr="00B0051E">
        <w:rPr>
          <w:rFonts w:ascii="Times New Roman" w:hAnsi="Times New Roman"/>
        </w:rPr>
        <w:t xml:space="preserve">Below are pending grievances </w:t>
      </w:r>
      <w:r>
        <w:rPr>
          <w:rFonts w:ascii="Times New Roman" w:hAnsi="Times New Roman"/>
        </w:rPr>
        <w:t>related to contract language:</w:t>
      </w:r>
    </w:p>
    <w:p w:rsidR="00B0051E" w:rsidRPr="00B0051E" w:rsidRDefault="00B5341E" w:rsidP="00B0051E">
      <w:pPr>
        <w:pStyle w:val="ListParagraph"/>
        <w:numPr>
          <w:ilvl w:val="0"/>
          <w:numId w:val="19"/>
        </w:numPr>
        <w:rPr>
          <w:rFonts w:ascii="Times New Roman" w:hAnsi="Times New Roman"/>
        </w:rPr>
      </w:pPr>
      <w:r>
        <w:rPr>
          <w:rFonts w:ascii="Times New Roman" w:hAnsi="Times New Roman"/>
        </w:rPr>
        <w:t>8</w:t>
      </w:r>
      <w:r w:rsidR="00B0051E" w:rsidRPr="00B0051E">
        <w:rPr>
          <w:rFonts w:ascii="Times New Roman" w:hAnsi="Times New Roman"/>
        </w:rPr>
        <w:t xml:space="preserve"> regarding overtime </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 xml:space="preserve">5 </w:t>
      </w:r>
      <w:r w:rsidR="005C5CE7">
        <w:rPr>
          <w:rFonts w:ascii="Times New Roman" w:hAnsi="Times New Roman"/>
        </w:rPr>
        <w:t xml:space="preserve">regarding the </w:t>
      </w:r>
      <w:r w:rsidRPr="00B0051E">
        <w:rPr>
          <w:rFonts w:ascii="Times New Roman" w:hAnsi="Times New Roman"/>
        </w:rPr>
        <w:t xml:space="preserve">shutdown </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 xml:space="preserve">3 </w:t>
      </w:r>
      <w:r w:rsidR="00307338">
        <w:rPr>
          <w:rFonts w:ascii="Times New Roman" w:hAnsi="Times New Roman"/>
        </w:rPr>
        <w:t>regarding</w:t>
      </w:r>
      <w:r w:rsidRPr="00B0051E">
        <w:rPr>
          <w:rFonts w:ascii="Times New Roman" w:hAnsi="Times New Roman"/>
        </w:rPr>
        <w:t xml:space="preserve"> expense reimbursement</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1 regarding shift differential language</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1 regarding the promotion of a less senior employee</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1 regarding the denial of vacation leave</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 xml:space="preserve">1 where the electrician received an inequity adjustment and the </w:t>
      </w:r>
      <w:r w:rsidR="00412EEB">
        <w:rPr>
          <w:rFonts w:ascii="Times New Roman" w:hAnsi="Times New Roman"/>
        </w:rPr>
        <w:t>highway</w:t>
      </w:r>
      <w:r w:rsidRPr="00B0051E">
        <w:rPr>
          <w:rFonts w:ascii="Times New Roman" w:hAnsi="Times New Roman"/>
        </w:rPr>
        <w:t xml:space="preserve"> </w:t>
      </w:r>
      <w:r w:rsidR="00412EEB">
        <w:rPr>
          <w:rFonts w:ascii="Times New Roman" w:hAnsi="Times New Roman"/>
        </w:rPr>
        <w:t>s</w:t>
      </w:r>
      <w:r w:rsidRPr="00B0051E">
        <w:rPr>
          <w:rFonts w:ascii="Times New Roman" w:hAnsi="Times New Roman"/>
        </w:rPr>
        <w:t xml:space="preserve">ignal </w:t>
      </w:r>
      <w:r w:rsidR="00412EEB">
        <w:rPr>
          <w:rFonts w:ascii="Times New Roman" w:hAnsi="Times New Roman"/>
        </w:rPr>
        <w:t>t</w:t>
      </w:r>
      <w:r w:rsidRPr="00B0051E">
        <w:rPr>
          <w:rFonts w:ascii="Times New Roman" w:hAnsi="Times New Roman"/>
        </w:rPr>
        <w:t>ech</w:t>
      </w:r>
      <w:r w:rsidR="00412EEB">
        <w:rPr>
          <w:rFonts w:ascii="Times New Roman" w:hAnsi="Times New Roman"/>
        </w:rPr>
        <w:t>nician</w:t>
      </w:r>
      <w:r w:rsidRPr="00B0051E">
        <w:rPr>
          <w:rFonts w:ascii="Times New Roman" w:hAnsi="Times New Roman"/>
        </w:rPr>
        <w:t xml:space="preserve"> did not</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2 regarding reassignment of employees from one truck station to another within the district</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1 regarding the back pay on a reallocation</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 xml:space="preserve">1 where the district denied consideration for a lateral </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1 regarding the length of service credit at the time of hire</w:t>
      </w:r>
    </w:p>
    <w:p w:rsidR="00B0051E" w:rsidRPr="00B0051E" w:rsidRDefault="00B0051E" w:rsidP="00B0051E">
      <w:pPr>
        <w:pStyle w:val="ListParagraph"/>
        <w:numPr>
          <w:ilvl w:val="0"/>
          <w:numId w:val="19"/>
        </w:numPr>
        <w:rPr>
          <w:rFonts w:ascii="Times New Roman" w:hAnsi="Times New Roman"/>
        </w:rPr>
      </w:pPr>
      <w:r w:rsidRPr="00B0051E">
        <w:rPr>
          <w:rFonts w:ascii="Times New Roman" w:hAnsi="Times New Roman"/>
        </w:rPr>
        <w:t xml:space="preserve">1 where </w:t>
      </w:r>
      <w:r w:rsidR="00412EEB">
        <w:rPr>
          <w:rFonts w:ascii="Times New Roman" w:hAnsi="Times New Roman"/>
        </w:rPr>
        <w:t>a</w:t>
      </w:r>
      <w:r w:rsidRPr="00B0051E">
        <w:rPr>
          <w:rFonts w:ascii="Times New Roman" w:hAnsi="Times New Roman"/>
        </w:rPr>
        <w:t xml:space="preserve">n employee </w:t>
      </w:r>
      <w:r w:rsidR="00412EEB">
        <w:rPr>
          <w:rFonts w:ascii="Times New Roman" w:hAnsi="Times New Roman"/>
        </w:rPr>
        <w:t xml:space="preserve">was removed </w:t>
      </w:r>
      <w:r w:rsidRPr="00B0051E">
        <w:rPr>
          <w:rFonts w:ascii="Times New Roman" w:hAnsi="Times New Roman"/>
        </w:rPr>
        <w:t>from the on-call list for one year due to performance</w:t>
      </w:r>
    </w:p>
    <w:p w:rsidR="00872B67" w:rsidRPr="00C91AAF" w:rsidRDefault="00B0051E" w:rsidP="00C91AAF">
      <w:pPr>
        <w:rPr>
          <w:rFonts w:ascii="Times New Roman" w:hAnsi="Times New Roman"/>
        </w:rPr>
      </w:pPr>
      <w:r w:rsidRPr="00B0051E">
        <w:rPr>
          <w:rFonts w:ascii="Times New Roman" w:hAnsi="Times New Roman"/>
        </w:rPr>
        <w:t>Information on grievances for disciplinary action does not become public data until the final disposition (settlement or arbitration), per Minn. Stat. 13.43.</w:t>
      </w:r>
    </w:p>
    <w:p w:rsidR="00B4375E" w:rsidRPr="00D954DF" w:rsidRDefault="00B55163" w:rsidP="00C91AAF">
      <w:pPr>
        <w:pStyle w:val="Body-Text"/>
        <w:ind w:firstLine="0"/>
      </w:pPr>
      <w:r>
        <w:t xml:space="preserve">Thank you for the opportunity to </w:t>
      </w:r>
      <w:r w:rsidR="00872B67">
        <w:t>provide this information</w:t>
      </w:r>
      <w:r>
        <w:t xml:space="preserve"> about </w:t>
      </w:r>
      <w:r w:rsidR="00872B67">
        <w:t>MnDOT’s budget and other agency activities</w:t>
      </w:r>
      <w:r>
        <w:t xml:space="preserve">. </w:t>
      </w:r>
      <w:r w:rsidR="00B4375E" w:rsidRPr="00B55163">
        <w:t xml:space="preserve">Please contact </w:t>
      </w:r>
      <w:r w:rsidR="00872B67">
        <w:t xml:space="preserve">Scott Peterson at </w:t>
      </w:r>
      <w:hyperlink r:id="rId17" w:history="1">
        <w:r w:rsidR="00872B67" w:rsidRPr="008F35A5">
          <w:rPr>
            <w:rStyle w:val="Hyperlink"/>
          </w:rPr>
          <w:t>scott.r.peterson@state.mn.us</w:t>
        </w:r>
      </w:hyperlink>
      <w:r w:rsidR="008B41B7">
        <w:t xml:space="preserve"> or 651-</w:t>
      </w:r>
      <w:r w:rsidR="00B4375E">
        <w:t>366-</w:t>
      </w:r>
      <w:r w:rsidR="00872B67">
        <w:t>4817</w:t>
      </w:r>
      <w:r w:rsidRPr="00B55163">
        <w:t xml:space="preserve"> if you have </w:t>
      </w:r>
      <w:r>
        <w:t xml:space="preserve">any additional </w:t>
      </w:r>
      <w:r w:rsidRPr="00B55163">
        <w:t>question</w:t>
      </w:r>
      <w:r>
        <w:t>s</w:t>
      </w:r>
      <w:r w:rsidR="00B4375E">
        <w:t xml:space="preserve">.  </w:t>
      </w:r>
    </w:p>
    <w:p w:rsidR="00B4375E" w:rsidRPr="00D954DF" w:rsidRDefault="00B4375E" w:rsidP="00080455">
      <w:pPr>
        <w:pStyle w:val="Body-Text"/>
        <w:ind w:left="0" w:firstLine="0"/>
      </w:pPr>
      <w:r w:rsidRPr="00D954DF">
        <w:t xml:space="preserve">Sincerely, </w:t>
      </w:r>
    </w:p>
    <w:p w:rsidR="00B4375E" w:rsidRPr="00D954DF" w:rsidRDefault="00B26B64" w:rsidP="00711C32">
      <w:pPr>
        <w:pStyle w:val="Body-Text"/>
        <w:ind w:hanging="43"/>
      </w:pPr>
      <w:r>
        <w:rPr>
          <w:noProof/>
        </w:rPr>
        <w:drawing>
          <wp:inline distT="0" distB="0" distL="0" distR="0" wp14:anchorId="5967BBC1">
            <wp:extent cx="1665838" cy="3454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5255" cy="351516"/>
                    </a:xfrm>
                    <a:prstGeom prst="rect">
                      <a:avLst/>
                    </a:prstGeom>
                    <a:noFill/>
                  </pic:spPr>
                </pic:pic>
              </a:graphicData>
            </a:graphic>
          </wp:inline>
        </w:drawing>
      </w:r>
    </w:p>
    <w:p w:rsidR="00520162" w:rsidRDefault="00872B67" w:rsidP="00080455">
      <w:pPr>
        <w:pStyle w:val="Body-Text"/>
        <w:spacing w:before="0" w:after="0"/>
        <w:ind w:left="0" w:firstLine="0"/>
      </w:pPr>
      <w:r>
        <w:t>Charles A. Zelle</w:t>
      </w:r>
    </w:p>
    <w:p w:rsidR="00726B23" w:rsidRDefault="00872B67" w:rsidP="00080455">
      <w:pPr>
        <w:pStyle w:val="Body-Text"/>
        <w:spacing w:before="0" w:after="0"/>
        <w:ind w:left="0" w:firstLine="0"/>
      </w:pPr>
      <w:r>
        <w:t>Commissioner</w:t>
      </w:r>
    </w:p>
    <w:p w:rsidR="00420184" w:rsidRDefault="00420184" w:rsidP="00711C32">
      <w:pPr>
        <w:pStyle w:val="Body-Text"/>
        <w:spacing w:before="0" w:after="0"/>
        <w:ind w:hanging="43"/>
      </w:pPr>
    </w:p>
    <w:p w:rsidR="00420184" w:rsidRDefault="00420184" w:rsidP="00711C32">
      <w:pPr>
        <w:pStyle w:val="Body-Text"/>
        <w:spacing w:before="0" w:after="0"/>
        <w:ind w:hanging="43"/>
      </w:pPr>
    </w:p>
    <w:p w:rsidR="00420184" w:rsidRPr="00420184" w:rsidRDefault="00420184" w:rsidP="00420184">
      <w:pPr>
        <w:tabs>
          <w:tab w:val="left" w:pos="1260"/>
        </w:tabs>
        <w:spacing w:after="0" w:line="240" w:lineRule="auto"/>
        <w:rPr>
          <w:rFonts w:ascii="Times New Roman" w:hAnsi="Times New Roman"/>
          <w:sz w:val="24"/>
          <w:szCs w:val="24"/>
        </w:rPr>
      </w:pPr>
      <w:r w:rsidRPr="00420184">
        <w:rPr>
          <w:rFonts w:ascii="Times New Roman" w:hAnsi="Times New Roman"/>
          <w:sz w:val="24"/>
          <w:szCs w:val="24"/>
        </w:rPr>
        <w:t xml:space="preserve">                     </w:t>
      </w:r>
    </w:p>
    <w:p w:rsidR="00420184" w:rsidRPr="00420184" w:rsidRDefault="00420184" w:rsidP="00420184">
      <w:pPr>
        <w:spacing w:after="0" w:line="240" w:lineRule="auto"/>
        <w:rPr>
          <w:rFonts w:ascii="Times New Roman" w:hAnsi="Times New Roman"/>
          <w:sz w:val="24"/>
          <w:szCs w:val="24"/>
        </w:rPr>
      </w:pPr>
      <w:r w:rsidRPr="00420184">
        <w:rPr>
          <w:rFonts w:ascii="Times New Roman" w:hAnsi="Times New Roman"/>
          <w:sz w:val="24"/>
          <w:szCs w:val="24"/>
        </w:rPr>
        <w:t xml:space="preserve">                    </w:t>
      </w:r>
    </w:p>
    <w:p w:rsidR="00420184" w:rsidRPr="00420184" w:rsidRDefault="00420184" w:rsidP="00420184">
      <w:pPr>
        <w:spacing w:after="0" w:line="240" w:lineRule="auto"/>
        <w:rPr>
          <w:rFonts w:ascii="Times New Roman" w:hAnsi="Times New Roman"/>
          <w:sz w:val="24"/>
          <w:szCs w:val="24"/>
        </w:rPr>
      </w:pPr>
    </w:p>
    <w:p w:rsidR="00420184" w:rsidRPr="00420184" w:rsidRDefault="00420184" w:rsidP="00420184">
      <w:pPr>
        <w:spacing w:after="0" w:line="240" w:lineRule="auto"/>
        <w:rPr>
          <w:rFonts w:ascii="Cambria" w:hAnsi="Cambria"/>
          <w:sz w:val="16"/>
          <w:szCs w:val="16"/>
        </w:rPr>
      </w:pPr>
    </w:p>
    <w:p w:rsidR="00420184" w:rsidRPr="00420184" w:rsidRDefault="00420184" w:rsidP="00420184">
      <w:pPr>
        <w:spacing w:after="0" w:line="240" w:lineRule="auto"/>
        <w:rPr>
          <w:rFonts w:ascii="Cambria" w:hAnsi="Cambria"/>
          <w:highlight w:val="yellow"/>
        </w:rPr>
      </w:pPr>
    </w:p>
    <w:p w:rsidR="00420184" w:rsidRPr="00420184" w:rsidRDefault="00420184" w:rsidP="00420184">
      <w:pPr>
        <w:spacing w:after="0" w:line="240" w:lineRule="auto"/>
        <w:rPr>
          <w:rFonts w:ascii="Cambria" w:hAnsi="Cambria"/>
          <w:highlight w:val="yellow"/>
        </w:rPr>
        <w:sectPr w:rsidR="00420184" w:rsidRPr="00420184" w:rsidSect="00A73C4A">
          <w:type w:val="continuous"/>
          <w:pgSz w:w="12240" w:h="15840"/>
          <w:pgMar w:top="1008" w:right="1008" w:bottom="1008" w:left="1008" w:header="432" w:footer="432" w:gutter="0"/>
          <w:cols w:space="720"/>
          <w:titlePg/>
          <w:docGrid w:linePitch="360"/>
        </w:sectPr>
      </w:pPr>
    </w:p>
    <w:p w:rsidR="00420184" w:rsidRPr="00420184" w:rsidRDefault="00B55163" w:rsidP="00420184">
      <w:pPr>
        <w:spacing w:after="0" w:line="240" w:lineRule="auto"/>
        <w:rPr>
          <w:rFonts w:ascii="Cambria" w:hAnsi="Cambria"/>
          <w:highlight w:val="yellow"/>
        </w:rPr>
      </w:pPr>
      <w:r>
        <w:rPr>
          <w:rFonts w:ascii="Cambria" w:hAnsi="Cambria"/>
          <w:highlight w:val="yellow"/>
        </w:rPr>
        <w:t xml:space="preserve">       </w:t>
      </w:r>
    </w:p>
    <w:p w:rsidR="00420184" w:rsidRPr="00302E69" w:rsidRDefault="00420184" w:rsidP="00711C32">
      <w:pPr>
        <w:pStyle w:val="Body-Text"/>
        <w:spacing w:before="0" w:after="0"/>
        <w:ind w:hanging="43"/>
      </w:pPr>
    </w:p>
    <w:sectPr w:rsidR="00420184" w:rsidRPr="00302E69" w:rsidSect="006D0D0A">
      <w:type w:val="continuous"/>
      <w:pgSz w:w="12240" w:h="15840"/>
      <w:pgMar w:top="1440" w:right="720" w:bottom="144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93E" w:rsidRDefault="00A3793E">
      <w:pPr>
        <w:spacing w:after="0" w:line="240" w:lineRule="auto"/>
      </w:pPr>
      <w:r>
        <w:separator/>
      </w:r>
    </w:p>
  </w:endnote>
  <w:endnote w:type="continuationSeparator" w:id="0">
    <w:p w:rsidR="00A3793E" w:rsidRDefault="00A3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361870"/>
      <w:docPartObj>
        <w:docPartGallery w:val="Page Numbers (Bottom of Page)"/>
        <w:docPartUnique/>
      </w:docPartObj>
    </w:sdtPr>
    <w:sdtEndPr>
      <w:rPr>
        <w:noProof/>
      </w:rPr>
    </w:sdtEndPr>
    <w:sdtContent>
      <w:p w:rsidR="00CC7284" w:rsidRDefault="00CC7284">
        <w:pPr>
          <w:pStyle w:val="Footer"/>
          <w:jc w:val="right"/>
        </w:pPr>
        <w:r>
          <w:fldChar w:fldCharType="begin"/>
        </w:r>
        <w:r>
          <w:instrText xml:space="preserve"> PAGE   \* MERGEFORMAT </w:instrText>
        </w:r>
        <w:r>
          <w:fldChar w:fldCharType="separate"/>
        </w:r>
        <w:r w:rsidR="00AA4E37">
          <w:rPr>
            <w:noProof/>
          </w:rPr>
          <w:t>2</w:t>
        </w:r>
        <w:r>
          <w:rPr>
            <w:noProof/>
          </w:rPr>
          <w:fldChar w:fldCharType="end"/>
        </w:r>
      </w:p>
    </w:sdtContent>
  </w:sdt>
  <w:p w:rsidR="004476BC" w:rsidRPr="00241F60" w:rsidRDefault="004476BC" w:rsidP="00241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93E" w:rsidRDefault="00A3793E">
      <w:pPr>
        <w:spacing w:after="0" w:line="240" w:lineRule="auto"/>
      </w:pPr>
      <w:r>
        <w:separator/>
      </w:r>
    </w:p>
  </w:footnote>
  <w:footnote w:type="continuationSeparator" w:id="0">
    <w:p w:rsidR="00A3793E" w:rsidRDefault="00A37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72" w:rsidRDefault="00711C32" w:rsidP="00DE6C72">
    <w:pPr>
      <w:spacing w:after="0" w:line="240" w:lineRule="auto"/>
      <w:jc w:val="right"/>
      <w:rPr>
        <w:rFonts w:ascii="Arial Narrow" w:hAnsi="Arial Narrow" w:cs="Arial"/>
        <w:color w:val="003865"/>
        <w:sz w:val="20"/>
        <w:szCs w:val="20"/>
      </w:rPr>
    </w:pPr>
    <w:r>
      <w:rPr>
        <w:noProof/>
      </w:rPr>
      <w:drawing>
        <wp:anchor distT="0" distB="0" distL="114300" distR="114300" simplePos="0" relativeHeight="251659264" behindDoc="0" locked="0" layoutInCell="1" allowOverlap="1" wp14:anchorId="68B73FD5" wp14:editId="5918CDFB">
          <wp:simplePos x="0" y="0"/>
          <wp:positionH relativeFrom="margin">
            <wp:align>left</wp:align>
          </wp:positionH>
          <wp:positionV relativeFrom="page">
            <wp:posOffset>14844</wp:posOffset>
          </wp:positionV>
          <wp:extent cx="2781300" cy="915035"/>
          <wp:effectExtent l="0" t="0" r="0" b="0"/>
          <wp:wrapNone/>
          <wp:docPr id="1" name="Picture 1" descr="Minnesota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nesota Department of Transport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915035"/>
                  </a:xfrm>
                  <a:prstGeom prst="rect">
                    <a:avLst/>
                  </a:prstGeom>
                  <a:noFill/>
                </pic:spPr>
              </pic:pic>
            </a:graphicData>
          </a:graphic>
          <wp14:sizeRelH relativeFrom="margin">
            <wp14:pctWidth>0</wp14:pctWidth>
          </wp14:sizeRelH>
          <wp14:sizeRelV relativeFrom="margin">
            <wp14:pctHeight>0</wp14:pctHeight>
          </wp14:sizeRelV>
        </wp:anchor>
      </w:drawing>
    </w:r>
    <w:r w:rsidR="00DE6C72">
      <w:rPr>
        <w:rFonts w:ascii="Arial Narrow" w:hAnsi="Arial Narrow" w:cs="Arial"/>
        <w:color w:val="003865"/>
        <w:sz w:val="20"/>
        <w:szCs w:val="20"/>
      </w:rPr>
      <w:t>395 John Ireland Boulevard</w:t>
    </w:r>
  </w:p>
  <w:p w:rsidR="00DE6C72" w:rsidRPr="00DE6C72" w:rsidRDefault="00DE6C72" w:rsidP="00DE6C72">
    <w:pPr>
      <w:spacing w:after="0" w:line="240" w:lineRule="auto"/>
      <w:jc w:val="right"/>
      <w:rPr>
        <w:rFonts w:ascii="Arial Narrow" w:hAnsi="Arial Narrow" w:cs="Arial"/>
        <w:color w:val="003865"/>
        <w:sz w:val="20"/>
        <w:szCs w:val="20"/>
      </w:rPr>
    </w:pPr>
    <w:r>
      <w:rPr>
        <w:rFonts w:ascii="Arial Narrow" w:hAnsi="Arial Narrow" w:cs="Arial"/>
        <w:color w:val="003865"/>
        <w:sz w:val="20"/>
        <w:szCs w:val="20"/>
      </w:rPr>
      <w:t>Saint Paul, Minnesota 55155</w:t>
    </w:r>
  </w:p>
  <w:p w:rsidR="004476BC" w:rsidRDefault="004476BC">
    <w:pPr>
      <w:spacing w:after="0" w:line="360" w:lineRule="auto"/>
      <w:rPr>
        <w:rFonts w:ascii="Arial Narrow" w:hAnsi="Arial Narrow" w:cs="Arial"/>
        <w:color w:val="003F5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32018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834" w:hanging="346"/>
      </w:pPr>
      <w:rPr>
        <w:rFonts w:ascii="Times New Roman" w:hAnsi="Times New Roman" w:cs="Times New Roman"/>
        <w:b w:val="0"/>
        <w:bCs w:val="0"/>
        <w:color w:val="232323"/>
        <w:w w:val="158"/>
        <w:sz w:val="22"/>
        <w:szCs w:val="22"/>
      </w:rPr>
    </w:lvl>
    <w:lvl w:ilvl="1">
      <w:numFmt w:val="bullet"/>
      <w:lvlText w:val="•"/>
      <w:lvlJc w:val="left"/>
      <w:pPr>
        <w:ind w:left="1776" w:hanging="346"/>
      </w:pPr>
    </w:lvl>
    <w:lvl w:ilvl="2">
      <w:numFmt w:val="bullet"/>
      <w:lvlText w:val="•"/>
      <w:lvlJc w:val="left"/>
      <w:pPr>
        <w:ind w:left="2719" w:hanging="346"/>
      </w:pPr>
    </w:lvl>
    <w:lvl w:ilvl="3">
      <w:numFmt w:val="bullet"/>
      <w:lvlText w:val="•"/>
      <w:lvlJc w:val="left"/>
      <w:pPr>
        <w:ind w:left="3662" w:hanging="346"/>
      </w:pPr>
    </w:lvl>
    <w:lvl w:ilvl="4">
      <w:numFmt w:val="bullet"/>
      <w:lvlText w:val="•"/>
      <w:lvlJc w:val="left"/>
      <w:pPr>
        <w:ind w:left="4604" w:hanging="346"/>
      </w:pPr>
    </w:lvl>
    <w:lvl w:ilvl="5">
      <w:numFmt w:val="bullet"/>
      <w:lvlText w:val="•"/>
      <w:lvlJc w:val="left"/>
      <w:pPr>
        <w:ind w:left="5547" w:hanging="346"/>
      </w:pPr>
    </w:lvl>
    <w:lvl w:ilvl="6">
      <w:numFmt w:val="bullet"/>
      <w:lvlText w:val="•"/>
      <w:lvlJc w:val="left"/>
      <w:pPr>
        <w:ind w:left="6489" w:hanging="346"/>
      </w:pPr>
    </w:lvl>
    <w:lvl w:ilvl="7">
      <w:numFmt w:val="bullet"/>
      <w:lvlText w:val="•"/>
      <w:lvlJc w:val="left"/>
      <w:pPr>
        <w:ind w:left="7432" w:hanging="346"/>
      </w:pPr>
    </w:lvl>
    <w:lvl w:ilvl="8">
      <w:numFmt w:val="bullet"/>
      <w:lvlText w:val="•"/>
      <w:lvlJc w:val="left"/>
      <w:pPr>
        <w:ind w:left="8374" w:hanging="346"/>
      </w:pPr>
    </w:lvl>
  </w:abstractNum>
  <w:abstractNum w:abstractNumId="2" w15:restartNumberingAfterBreak="0">
    <w:nsid w:val="00D17994"/>
    <w:multiLevelType w:val="hybridMultilevel"/>
    <w:tmpl w:val="F4D89E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70013"/>
    <w:multiLevelType w:val="hybridMultilevel"/>
    <w:tmpl w:val="2FEA7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F1A50"/>
    <w:multiLevelType w:val="hybridMultilevel"/>
    <w:tmpl w:val="510CAA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514BC4"/>
    <w:multiLevelType w:val="hybridMultilevel"/>
    <w:tmpl w:val="A764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50C80"/>
    <w:multiLevelType w:val="hybridMultilevel"/>
    <w:tmpl w:val="DDD4B5C0"/>
    <w:lvl w:ilvl="0" w:tplc="AC247C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7313FF"/>
    <w:multiLevelType w:val="hybridMultilevel"/>
    <w:tmpl w:val="7F42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70B8C"/>
    <w:multiLevelType w:val="hybridMultilevel"/>
    <w:tmpl w:val="B3B0F7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F1626E"/>
    <w:multiLevelType w:val="hybridMultilevel"/>
    <w:tmpl w:val="D76A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C06BE"/>
    <w:multiLevelType w:val="hybridMultilevel"/>
    <w:tmpl w:val="B6C89B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0B5B7B"/>
    <w:multiLevelType w:val="hybridMultilevel"/>
    <w:tmpl w:val="A86C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10D52"/>
    <w:multiLevelType w:val="hybridMultilevel"/>
    <w:tmpl w:val="6BC4A140"/>
    <w:lvl w:ilvl="0" w:tplc="2B4C6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E65773"/>
    <w:multiLevelType w:val="hybridMultilevel"/>
    <w:tmpl w:val="5082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52DD6"/>
    <w:multiLevelType w:val="hybridMultilevel"/>
    <w:tmpl w:val="A4802C9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470BF"/>
    <w:multiLevelType w:val="hybridMultilevel"/>
    <w:tmpl w:val="B9520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A3850"/>
    <w:multiLevelType w:val="hybridMultilevel"/>
    <w:tmpl w:val="8266214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A7DAC"/>
    <w:multiLevelType w:val="hybridMultilevel"/>
    <w:tmpl w:val="ED78D49A"/>
    <w:lvl w:ilvl="0" w:tplc="09A0A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A5012D"/>
    <w:multiLevelType w:val="hybridMultilevel"/>
    <w:tmpl w:val="ED9618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34CBC"/>
    <w:multiLevelType w:val="hybridMultilevel"/>
    <w:tmpl w:val="41F012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7852A7E"/>
    <w:multiLevelType w:val="hybridMultilevel"/>
    <w:tmpl w:val="084821AA"/>
    <w:lvl w:ilvl="0" w:tplc="041861D6">
      <w:start w:val="1"/>
      <w:numFmt w:val="bullet"/>
      <w:lvlText w:val="•"/>
      <w:lvlJc w:val="left"/>
      <w:pPr>
        <w:ind w:left="1554" w:hanging="360"/>
      </w:pPr>
      <w:rPr>
        <w:rFonts w:ascii="Arial" w:hAnsi="Aria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1" w15:restartNumberingAfterBreak="0">
    <w:nsid w:val="68A72AE5"/>
    <w:multiLevelType w:val="hybridMultilevel"/>
    <w:tmpl w:val="E810745E"/>
    <w:lvl w:ilvl="0" w:tplc="71F42416">
      <w:start w:val="888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D00C0A"/>
    <w:multiLevelType w:val="multilevel"/>
    <w:tmpl w:val="074C6B7E"/>
    <w:lvl w:ilvl="0">
      <w:start w:val="1"/>
      <w:numFmt w:val="bullet"/>
      <w:lvlText w:val="•"/>
      <w:lvlJc w:val="left"/>
      <w:pPr>
        <w:ind w:left="834" w:hanging="346"/>
      </w:pPr>
      <w:rPr>
        <w:rFonts w:ascii="Arial" w:hAnsi="Arial" w:hint="default"/>
        <w:b w:val="0"/>
        <w:bCs w:val="0"/>
        <w:color w:val="232323"/>
        <w:w w:val="158"/>
        <w:sz w:val="22"/>
        <w:szCs w:val="22"/>
      </w:rPr>
    </w:lvl>
    <w:lvl w:ilvl="1">
      <w:numFmt w:val="bullet"/>
      <w:lvlText w:val="•"/>
      <w:lvlJc w:val="left"/>
      <w:pPr>
        <w:ind w:left="1776" w:hanging="346"/>
      </w:pPr>
    </w:lvl>
    <w:lvl w:ilvl="2">
      <w:numFmt w:val="bullet"/>
      <w:lvlText w:val="•"/>
      <w:lvlJc w:val="left"/>
      <w:pPr>
        <w:ind w:left="2719" w:hanging="346"/>
      </w:pPr>
    </w:lvl>
    <w:lvl w:ilvl="3">
      <w:numFmt w:val="bullet"/>
      <w:lvlText w:val="•"/>
      <w:lvlJc w:val="left"/>
      <w:pPr>
        <w:ind w:left="3662" w:hanging="346"/>
      </w:pPr>
    </w:lvl>
    <w:lvl w:ilvl="4">
      <w:numFmt w:val="bullet"/>
      <w:lvlText w:val="•"/>
      <w:lvlJc w:val="left"/>
      <w:pPr>
        <w:ind w:left="4604" w:hanging="346"/>
      </w:pPr>
    </w:lvl>
    <w:lvl w:ilvl="5">
      <w:numFmt w:val="bullet"/>
      <w:lvlText w:val="•"/>
      <w:lvlJc w:val="left"/>
      <w:pPr>
        <w:ind w:left="5547" w:hanging="346"/>
      </w:pPr>
    </w:lvl>
    <w:lvl w:ilvl="6">
      <w:numFmt w:val="bullet"/>
      <w:lvlText w:val="•"/>
      <w:lvlJc w:val="left"/>
      <w:pPr>
        <w:ind w:left="6489" w:hanging="346"/>
      </w:pPr>
    </w:lvl>
    <w:lvl w:ilvl="7">
      <w:numFmt w:val="bullet"/>
      <w:lvlText w:val="•"/>
      <w:lvlJc w:val="left"/>
      <w:pPr>
        <w:ind w:left="7432" w:hanging="346"/>
      </w:pPr>
    </w:lvl>
    <w:lvl w:ilvl="8">
      <w:numFmt w:val="bullet"/>
      <w:lvlText w:val="•"/>
      <w:lvlJc w:val="left"/>
      <w:pPr>
        <w:ind w:left="8374" w:hanging="346"/>
      </w:pPr>
    </w:lvl>
  </w:abstractNum>
  <w:abstractNum w:abstractNumId="23" w15:restartNumberingAfterBreak="0">
    <w:nsid w:val="7F273ED5"/>
    <w:multiLevelType w:val="hybridMultilevel"/>
    <w:tmpl w:val="BAF83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9"/>
  </w:num>
  <w:num w:numId="4">
    <w:abstractNumId w:val="0"/>
  </w:num>
  <w:num w:numId="5">
    <w:abstractNumId w:val="1"/>
  </w:num>
  <w:num w:numId="6">
    <w:abstractNumId w:val="22"/>
  </w:num>
  <w:num w:numId="7">
    <w:abstractNumId w:val="20"/>
  </w:num>
  <w:num w:numId="8">
    <w:abstractNumId w:val="5"/>
  </w:num>
  <w:num w:numId="9">
    <w:abstractNumId w:val="23"/>
  </w:num>
  <w:num w:numId="10">
    <w:abstractNumId w:val="8"/>
  </w:num>
  <w:num w:numId="11">
    <w:abstractNumId w:val="16"/>
  </w:num>
  <w:num w:numId="12">
    <w:abstractNumId w:val="18"/>
  </w:num>
  <w:num w:numId="13">
    <w:abstractNumId w:val="17"/>
  </w:num>
  <w:num w:numId="14">
    <w:abstractNumId w:val="2"/>
  </w:num>
  <w:num w:numId="15">
    <w:abstractNumId w:val="12"/>
  </w:num>
  <w:num w:numId="16">
    <w:abstractNumId w:val="14"/>
  </w:num>
  <w:num w:numId="17">
    <w:abstractNumId w:val="15"/>
  </w:num>
  <w:num w:numId="18">
    <w:abstractNumId w:val="6"/>
  </w:num>
  <w:num w:numId="19">
    <w:abstractNumId w:val="7"/>
  </w:num>
  <w:num w:numId="20">
    <w:abstractNumId w:val="21"/>
  </w:num>
  <w:num w:numId="21">
    <w:abstractNumId w:val="3"/>
  </w:num>
  <w:num w:numId="22">
    <w:abstractNumId w:val="19"/>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45"/>
    <w:rsid w:val="00023338"/>
    <w:rsid w:val="00034CA6"/>
    <w:rsid w:val="0005444A"/>
    <w:rsid w:val="00080455"/>
    <w:rsid w:val="000A231B"/>
    <w:rsid w:val="000A6202"/>
    <w:rsid w:val="000C281C"/>
    <w:rsid w:val="000F424E"/>
    <w:rsid w:val="00101FEE"/>
    <w:rsid w:val="00107C5F"/>
    <w:rsid w:val="0011369E"/>
    <w:rsid w:val="00117E03"/>
    <w:rsid w:val="00121C30"/>
    <w:rsid w:val="001235D6"/>
    <w:rsid w:val="00131277"/>
    <w:rsid w:val="00164A4A"/>
    <w:rsid w:val="00165BD7"/>
    <w:rsid w:val="00181955"/>
    <w:rsid w:val="00182566"/>
    <w:rsid w:val="00183A73"/>
    <w:rsid w:val="001C487B"/>
    <w:rsid w:val="001F3705"/>
    <w:rsid w:val="00204745"/>
    <w:rsid w:val="00241F60"/>
    <w:rsid w:val="0025704E"/>
    <w:rsid w:val="002743C8"/>
    <w:rsid w:val="002848B5"/>
    <w:rsid w:val="002B0D1D"/>
    <w:rsid w:val="002C2B8C"/>
    <w:rsid w:val="002D4BCD"/>
    <w:rsid w:val="00302E69"/>
    <w:rsid w:val="00307338"/>
    <w:rsid w:val="00311F92"/>
    <w:rsid w:val="00315195"/>
    <w:rsid w:val="003760CE"/>
    <w:rsid w:val="003A4491"/>
    <w:rsid w:val="003B55BD"/>
    <w:rsid w:val="003E119E"/>
    <w:rsid w:val="003E1602"/>
    <w:rsid w:val="003F5DDF"/>
    <w:rsid w:val="00407E7A"/>
    <w:rsid w:val="00412EEB"/>
    <w:rsid w:val="00420184"/>
    <w:rsid w:val="0042473E"/>
    <w:rsid w:val="004429E1"/>
    <w:rsid w:val="004476BC"/>
    <w:rsid w:val="004C50AD"/>
    <w:rsid w:val="004F6EB0"/>
    <w:rsid w:val="00520162"/>
    <w:rsid w:val="00552235"/>
    <w:rsid w:val="00560EE6"/>
    <w:rsid w:val="00570EE4"/>
    <w:rsid w:val="00575416"/>
    <w:rsid w:val="005B1C22"/>
    <w:rsid w:val="005C5CE7"/>
    <w:rsid w:val="005D153F"/>
    <w:rsid w:val="005F2B09"/>
    <w:rsid w:val="0062648C"/>
    <w:rsid w:val="006332AC"/>
    <w:rsid w:val="006434D9"/>
    <w:rsid w:val="00643824"/>
    <w:rsid w:val="006450D6"/>
    <w:rsid w:val="00654C6C"/>
    <w:rsid w:val="00665C88"/>
    <w:rsid w:val="00693D7C"/>
    <w:rsid w:val="00695D03"/>
    <w:rsid w:val="006B6B38"/>
    <w:rsid w:val="006C635A"/>
    <w:rsid w:val="006C7D6D"/>
    <w:rsid w:val="006D0D0A"/>
    <w:rsid w:val="006D6385"/>
    <w:rsid w:val="007072A5"/>
    <w:rsid w:val="007075E4"/>
    <w:rsid w:val="00711C32"/>
    <w:rsid w:val="00726B23"/>
    <w:rsid w:val="00755057"/>
    <w:rsid w:val="007D2A64"/>
    <w:rsid w:val="008024BD"/>
    <w:rsid w:val="00816F15"/>
    <w:rsid w:val="00824EA9"/>
    <w:rsid w:val="00833748"/>
    <w:rsid w:val="00847B53"/>
    <w:rsid w:val="008606E0"/>
    <w:rsid w:val="00864B2A"/>
    <w:rsid w:val="00871CF5"/>
    <w:rsid w:val="00872B67"/>
    <w:rsid w:val="0088549E"/>
    <w:rsid w:val="008A6557"/>
    <w:rsid w:val="008B41B7"/>
    <w:rsid w:val="008D338D"/>
    <w:rsid w:val="008D7A23"/>
    <w:rsid w:val="008F4D6F"/>
    <w:rsid w:val="009055CE"/>
    <w:rsid w:val="00906011"/>
    <w:rsid w:val="009309CC"/>
    <w:rsid w:val="00933779"/>
    <w:rsid w:val="00951428"/>
    <w:rsid w:val="00976AE7"/>
    <w:rsid w:val="009A7DE1"/>
    <w:rsid w:val="009B3868"/>
    <w:rsid w:val="009B6ED0"/>
    <w:rsid w:val="009C67B9"/>
    <w:rsid w:val="009F29C6"/>
    <w:rsid w:val="00A3793E"/>
    <w:rsid w:val="00A608E8"/>
    <w:rsid w:val="00A61F23"/>
    <w:rsid w:val="00A72954"/>
    <w:rsid w:val="00A84B6D"/>
    <w:rsid w:val="00AA2E79"/>
    <w:rsid w:val="00AA4E37"/>
    <w:rsid w:val="00AB084E"/>
    <w:rsid w:val="00AB7AE5"/>
    <w:rsid w:val="00AC023F"/>
    <w:rsid w:val="00AD61E6"/>
    <w:rsid w:val="00B0051E"/>
    <w:rsid w:val="00B14FC3"/>
    <w:rsid w:val="00B2638A"/>
    <w:rsid w:val="00B26B64"/>
    <w:rsid w:val="00B3674C"/>
    <w:rsid w:val="00B4375E"/>
    <w:rsid w:val="00B459D3"/>
    <w:rsid w:val="00B5341E"/>
    <w:rsid w:val="00B55163"/>
    <w:rsid w:val="00B62FC1"/>
    <w:rsid w:val="00B70AA8"/>
    <w:rsid w:val="00B72918"/>
    <w:rsid w:val="00B82FC8"/>
    <w:rsid w:val="00BC06FC"/>
    <w:rsid w:val="00BD03BD"/>
    <w:rsid w:val="00BD169F"/>
    <w:rsid w:val="00BD6334"/>
    <w:rsid w:val="00C303D0"/>
    <w:rsid w:val="00C62F6F"/>
    <w:rsid w:val="00C75350"/>
    <w:rsid w:val="00C91AAF"/>
    <w:rsid w:val="00CC113C"/>
    <w:rsid w:val="00CC7284"/>
    <w:rsid w:val="00CD17CA"/>
    <w:rsid w:val="00CD5289"/>
    <w:rsid w:val="00CD7632"/>
    <w:rsid w:val="00CF0C0E"/>
    <w:rsid w:val="00D129B4"/>
    <w:rsid w:val="00D33B7A"/>
    <w:rsid w:val="00D64938"/>
    <w:rsid w:val="00D72984"/>
    <w:rsid w:val="00D8796D"/>
    <w:rsid w:val="00D939F7"/>
    <w:rsid w:val="00DA3185"/>
    <w:rsid w:val="00DA35A9"/>
    <w:rsid w:val="00DA4F16"/>
    <w:rsid w:val="00DE6C72"/>
    <w:rsid w:val="00DE7E9A"/>
    <w:rsid w:val="00E27D58"/>
    <w:rsid w:val="00E32ABA"/>
    <w:rsid w:val="00E34AA1"/>
    <w:rsid w:val="00E60252"/>
    <w:rsid w:val="00E735AB"/>
    <w:rsid w:val="00EE55CB"/>
    <w:rsid w:val="00F253C8"/>
    <w:rsid w:val="00F46983"/>
    <w:rsid w:val="00F612CA"/>
    <w:rsid w:val="00FA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5:docId w15:val="{AEA59A8D-40BF-4211-AEDC-6C420D16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F6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7B9"/>
    <w:pPr>
      <w:tabs>
        <w:tab w:val="center" w:pos="4680"/>
        <w:tab w:val="right" w:pos="9360"/>
      </w:tabs>
    </w:pPr>
  </w:style>
  <w:style w:type="character" w:customStyle="1" w:styleId="HeaderChar">
    <w:name w:val="Header Char"/>
    <w:basedOn w:val="DefaultParagraphFont"/>
    <w:link w:val="Header"/>
    <w:uiPriority w:val="99"/>
    <w:rsid w:val="009C67B9"/>
  </w:style>
  <w:style w:type="paragraph" w:styleId="Footer">
    <w:name w:val="footer"/>
    <w:basedOn w:val="Normal"/>
    <w:link w:val="FooterChar"/>
    <w:uiPriority w:val="99"/>
    <w:unhideWhenUsed/>
    <w:rsid w:val="009C67B9"/>
    <w:pPr>
      <w:tabs>
        <w:tab w:val="center" w:pos="4680"/>
        <w:tab w:val="right" w:pos="9360"/>
      </w:tabs>
    </w:pPr>
  </w:style>
  <w:style w:type="character" w:customStyle="1" w:styleId="FooterChar">
    <w:name w:val="Footer Char"/>
    <w:basedOn w:val="DefaultParagraphFont"/>
    <w:link w:val="Footer"/>
    <w:uiPriority w:val="99"/>
    <w:rsid w:val="009C67B9"/>
  </w:style>
  <w:style w:type="paragraph" w:styleId="BalloonText">
    <w:name w:val="Balloon Text"/>
    <w:basedOn w:val="Normal"/>
    <w:link w:val="BalloonTextChar"/>
    <w:uiPriority w:val="99"/>
    <w:semiHidden/>
    <w:unhideWhenUsed/>
    <w:rsid w:val="009C67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7B9"/>
    <w:rPr>
      <w:rFonts w:ascii="Tahoma" w:hAnsi="Tahoma" w:cs="Tahoma"/>
      <w:sz w:val="16"/>
      <w:szCs w:val="16"/>
    </w:rPr>
  </w:style>
  <w:style w:type="paragraph" w:styleId="BlockText">
    <w:name w:val="Block Text"/>
    <w:basedOn w:val="Normal"/>
    <w:autoRedefine/>
    <w:rsid w:val="006332AC"/>
    <w:pPr>
      <w:tabs>
        <w:tab w:val="left" w:pos="0"/>
        <w:tab w:val="left" w:pos="90"/>
      </w:tabs>
      <w:spacing w:before="200" w:after="0" w:line="240" w:lineRule="auto"/>
      <w:jc w:val="both"/>
    </w:pPr>
    <w:rPr>
      <w:rFonts w:cs="Arial"/>
      <w:sz w:val="24"/>
    </w:rPr>
  </w:style>
  <w:style w:type="paragraph" w:customStyle="1" w:styleId="Body-Text">
    <w:name w:val="Body-Text"/>
    <w:basedOn w:val="Normal"/>
    <w:autoRedefine/>
    <w:qFormat/>
    <w:rsid w:val="00711C32"/>
    <w:pPr>
      <w:spacing w:before="200" w:after="120" w:line="240" w:lineRule="auto"/>
      <w:ind w:left="43" w:firstLine="317"/>
    </w:pPr>
    <w:rPr>
      <w:rFonts w:ascii="Times New Roman" w:hAnsi="Times New Roman"/>
    </w:rPr>
  </w:style>
  <w:style w:type="character" w:styleId="Hyperlink">
    <w:name w:val="Hyperlink"/>
    <w:uiPriority w:val="99"/>
    <w:unhideWhenUsed/>
    <w:rsid w:val="004476BC"/>
    <w:rPr>
      <w:color w:val="0000FF"/>
      <w:u w:val="single"/>
    </w:rPr>
  </w:style>
  <w:style w:type="character" w:styleId="CommentReference">
    <w:name w:val="annotation reference"/>
    <w:uiPriority w:val="99"/>
    <w:semiHidden/>
    <w:unhideWhenUsed/>
    <w:rsid w:val="00693D7C"/>
    <w:rPr>
      <w:sz w:val="16"/>
      <w:szCs w:val="16"/>
    </w:rPr>
  </w:style>
  <w:style w:type="paragraph" w:styleId="CommentText">
    <w:name w:val="annotation text"/>
    <w:basedOn w:val="Normal"/>
    <w:link w:val="CommentTextChar"/>
    <w:uiPriority w:val="99"/>
    <w:semiHidden/>
    <w:unhideWhenUsed/>
    <w:rsid w:val="00693D7C"/>
    <w:rPr>
      <w:sz w:val="20"/>
      <w:szCs w:val="20"/>
    </w:rPr>
  </w:style>
  <w:style w:type="character" w:customStyle="1" w:styleId="CommentTextChar">
    <w:name w:val="Comment Text Char"/>
    <w:basedOn w:val="DefaultParagraphFont"/>
    <w:link w:val="CommentText"/>
    <w:uiPriority w:val="99"/>
    <w:semiHidden/>
    <w:rsid w:val="00693D7C"/>
  </w:style>
  <w:style w:type="paragraph" w:styleId="CommentSubject">
    <w:name w:val="annotation subject"/>
    <w:basedOn w:val="CommentText"/>
    <w:next w:val="CommentText"/>
    <w:link w:val="CommentSubjectChar"/>
    <w:uiPriority w:val="99"/>
    <w:semiHidden/>
    <w:unhideWhenUsed/>
    <w:rsid w:val="00693D7C"/>
    <w:rPr>
      <w:b/>
      <w:bCs/>
    </w:rPr>
  </w:style>
  <w:style w:type="character" w:customStyle="1" w:styleId="CommentSubjectChar">
    <w:name w:val="Comment Subject Char"/>
    <w:link w:val="CommentSubject"/>
    <w:uiPriority w:val="99"/>
    <w:semiHidden/>
    <w:rsid w:val="00693D7C"/>
    <w:rPr>
      <w:b/>
      <w:bCs/>
    </w:rPr>
  </w:style>
  <w:style w:type="paragraph" w:styleId="Revision">
    <w:name w:val="Revision"/>
    <w:hidden/>
    <w:uiPriority w:val="99"/>
    <w:semiHidden/>
    <w:rsid w:val="00693D7C"/>
    <w:rPr>
      <w:sz w:val="22"/>
      <w:szCs w:val="22"/>
    </w:rPr>
  </w:style>
  <w:style w:type="paragraph" w:styleId="NoSpacing">
    <w:name w:val="No Spacing"/>
    <w:uiPriority w:val="1"/>
    <w:qFormat/>
    <w:rsid w:val="0062648C"/>
    <w:rPr>
      <w:sz w:val="22"/>
      <w:szCs w:val="22"/>
    </w:rPr>
  </w:style>
  <w:style w:type="paragraph" w:styleId="ListBullet">
    <w:name w:val="List Bullet"/>
    <w:basedOn w:val="Normal"/>
    <w:uiPriority w:val="2"/>
    <w:unhideWhenUsed/>
    <w:qFormat/>
    <w:rsid w:val="00643824"/>
    <w:pPr>
      <w:numPr>
        <w:numId w:val="4"/>
      </w:numPr>
      <w:tabs>
        <w:tab w:val="clear" w:pos="360"/>
      </w:tabs>
      <w:spacing w:after="240" w:line="269" w:lineRule="auto"/>
      <w:ind w:left="576" w:hanging="288"/>
      <w:contextualSpacing/>
    </w:pPr>
    <w:rPr>
      <w:rFonts w:ascii="Garamond" w:hAnsi="Garamond" w:cs="Arial"/>
      <w:sz w:val="24"/>
    </w:rPr>
  </w:style>
  <w:style w:type="character" w:styleId="FollowedHyperlink">
    <w:name w:val="FollowedHyperlink"/>
    <w:basedOn w:val="DefaultParagraphFont"/>
    <w:uiPriority w:val="99"/>
    <w:semiHidden/>
    <w:unhideWhenUsed/>
    <w:rsid w:val="003F5DDF"/>
    <w:rPr>
      <w:color w:val="800080" w:themeColor="followedHyperlink"/>
      <w:u w:val="single"/>
    </w:rPr>
  </w:style>
  <w:style w:type="paragraph" w:styleId="PlainText">
    <w:name w:val="Plain Text"/>
    <w:basedOn w:val="Normal"/>
    <w:link w:val="PlainTextChar"/>
    <w:uiPriority w:val="99"/>
    <w:semiHidden/>
    <w:unhideWhenUsed/>
    <w:rsid w:val="00711C32"/>
    <w:pPr>
      <w:spacing w:after="0" w:line="240" w:lineRule="auto"/>
    </w:pPr>
    <w:rPr>
      <w:rFonts w:ascii="Cambria" w:eastAsiaTheme="minorHAnsi" w:hAnsi="Cambria" w:cstheme="minorBidi"/>
    </w:rPr>
  </w:style>
  <w:style w:type="character" w:customStyle="1" w:styleId="PlainTextChar">
    <w:name w:val="Plain Text Char"/>
    <w:basedOn w:val="DefaultParagraphFont"/>
    <w:link w:val="PlainText"/>
    <w:uiPriority w:val="99"/>
    <w:semiHidden/>
    <w:rsid w:val="00711C32"/>
    <w:rPr>
      <w:rFonts w:ascii="Cambria" w:eastAsiaTheme="minorHAnsi" w:hAnsi="Cambria" w:cstheme="minorBidi"/>
      <w:sz w:val="22"/>
      <w:szCs w:val="22"/>
    </w:rPr>
  </w:style>
  <w:style w:type="paragraph" w:styleId="ListParagraph">
    <w:name w:val="List Paragraph"/>
    <w:basedOn w:val="Normal"/>
    <w:uiPriority w:val="34"/>
    <w:qFormat/>
    <w:rsid w:val="00711C32"/>
    <w:pPr>
      <w:ind w:left="720"/>
      <w:contextualSpacing/>
    </w:pPr>
  </w:style>
  <w:style w:type="paragraph" w:customStyle="1" w:styleId="Default">
    <w:name w:val="Default"/>
    <w:rsid w:val="00D129B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772">
      <w:bodyDiv w:val="1"/>
      <w:marLeft w:val="0"/>
      <w:marRight w:val="0"/>
      <w:marTop w:val="0"/>
      <w:marBottom w:val="0"/>
      <w:divBdr>
        <w:top w:val="none" w:sz="0" w:space="0" w:color="auto"/>
        <w:left w:val="none" w:sz="0" w:space="0" w:color="auto"/>
        <w:bottom w:val="none" w:sz="0" w:space="0" w:color="auto"/>
        <w:right w:val="none" w:sz="0" w:space="0" w:color="auto"/>
      </w:divBdr>
    </w:div>
    <w:div w:id="143863061">
      <w:bodyDiv w:val="1"/>
      <w:marLeft w:val="0"/>
      <w:marRight w:val="0"/>
      <w:marTop w:val="0"/>
      <w:marBottom w:val="0"/>
      <w:divBdr>
        <w:top w:val="none" w:sz="0" w:space="0" w:color="auto"/>
        <w:left w:val="none" w:sz="0" w:space="0" w:color="auto"/>
        <w:bottom w:val="none" w:sz="0" w:space="0" w:color="auto"/>
        <w:right w:val="none" w:sz="0" w:space="0" w:color="auto"/>
      </w:divBdr>
    </w:div>
    <w:div w:id="220676365">
      <w:bodyDiv w:val="1"/>
      <w:marLeft w:val="0"/>
      <w:marRight w:val="0"/>
      <w:marTop w:val="0"/>
      <w:marBottom w:val="0"/>
      <w:divBdr>
        <w:top w:val="none" w:sz="0" w:space="0" w:color="auto"/>
        <w:left w:val="none" w:sz="0" w:space="0" w:color="auto"/>
        <w:bottom w:val="none" w:sz="0" w:space="0" w:color="auto"/>
        <w:right w:val="none" w:sz="0" w:space="0" w:color="auto"/>
      </w:divBdr>
    </w:div>
    <w:div w:id="242641676">
      <w:bodyDiv w:val="1"/>
      <w:marLeft w:val="0"/>
      <w:marRight w:val="0"/>
      <w:marTop w:val="0"/>
      <w:marBottom w:val="0"/>
      <w:divBdr>
        <w:top w:val="none" w:sz="0" w:space="0" w:color="auto"/>
        <w:left w:val="none" w:sz="0" w:space="0" w:color="auto"/>
        <w:bottom w:val="none" w:sz="0" w:space="0" w:color="auto"/>
        <w:right w:val="none" w:sz="0" w:space="0" w:color="auto"/>
      </w:divBdr>
    </w:div>
    <w:div w:id="546189346">
      <w:bodyDiv w:val="1"/>
      <w:marLeft w:val="0"/>
      <w:marRight w:val="0"/>
      <w:marTop w:val="0"/>
      <w:marBottom w:val="0"/>
      <w:divBdr>
        <w:top w:val="none" w:sz="0" w:space="0" w:color="auto"/>
        <w:left w:val="none" w:sz="0" w:space="0" w:color="auto"/>
        <w:bottom w:val="none" w:sz="0" w:space="0" w:color="auto"/>
        <w:right w:val="none" w:sz="0" w:space="0" w:color="auto"/>
      </w:divBdr>
      <w:divsChild>
        <w:div w:id="1764646542">
          <w:marLeft w:val="0"/>
          <w:marRight w:val="0"/>
          <w:marTop w:val="0"/>
          <w:marBottom w:val="0"/>
          <w:divBdr>
            <w:top w:val="none" w:sz="0" w:space="0" w:color="auto"/>
            <w:left w:val="none" w:sz="0" w:space="0" w:color="auto"/>
            <w:bottom w:val="none" w:sz="0" w:space="0" w:color="auto"/>
            <w:right w:val="none" w:sz="0" w:space="0" w:color="auto"/>
          </w:divBdr>
          <w:divsChild>
            <w:div w:id="1455564071">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717313620">
      <w:bodyDiv w:val="1"/>
      <w:marLeft w:val="0"/>
      <w:marRight w:val="0"/>
      <w:marTop w:val="0"/>
      <w:marBottom w:val="0"/>
      <w:divBdr>
        <w:top w:val="none" w:sz="0" w:space="0" w:color="auto"/>
        <w:left w:val="none" w:sz="0" w:space="0" w:color="auto"/>
        <w:bottom w:val="none" w:sz="0" w:space="0" w:color="auto"/>
        <w:right w:val="none" w:sz="0" w:space="0" w:color="auto"/>
      </w:divBdr>
      <w:divsChild>
        <w:div w:id="1614559837">
          <w:marLeft w:val="0"/>
          <w:marRight w:val="0"/>
          <w:marTop w:val="0"/>
          <w:marBottom w:val="0"/>
          <w:divBdr>
            <w:top w:val="none" w:sz="0" w:space="0" w:color="auto"/>
            <w:left w:val="none" w:sz="0" w:space="0" w:color="auto"/>
            <w:bottom w:val="none" w:sz="0" w:space="0" w:color="auto"/>
            <w:right w:val="none" w:sz="0" w:space="0" w:color="auto"/>
          </w:divBdr>
          <w:divsChild>
            <w:div w:id="795441466">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759445711">
      <w:bodyDiv w:val="1"/>
      <w:marLeft w:val="0"/>
      <w:marRight w:val="0"/>
      <w:marTop w:val="0"/>
      <w:marBottom w:val="0"/>
      <w:divBdr>
        <w:top w:val="none" w:sz="0" w:space="0" w:color="auto"/>
        <w:left w:val="none" w:sz="0" w:space="0" w:color="auto"/>
        <w:bottom w:val="none" w:sz="0" w:space="0" w:color="auto"/>
        <w:right w:val="none" w:sz="0" w:space="0" w:color="auto"/>
      </w:divBdr>
      <w:divsChild>
        <w:div w:id="1031758896">
          <w:marLeft w:val="0"/>
          <w:marRight w:val="0"/>
          <w:marTop w:val="0"/>
          <w:marBottom w:val="0"/>
          <w:divBdr>
            <w:top w:val="none" w:sz="0" w:space="0" w:color="auto"/>
            <w:left w:val="none" w:sz="0" w:space="0" w:color="auto"/>
            <w:bottom w:val="none" w:sz="0" w:space="0" w:color="auto"/>
            <w:right w:val="none" w:sz="0" w:space="0" w:color="auto"/>
          </w:divBdr>
          <w:divsChild>
            <w:div w:id="158230847">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971207394">
      <w:bodyDiv w:val="1"/>
      <w:marLeft w:val="0"/>
      <w:marRight w:val="0"/>
      <w:marTop w:val="0"/>
      <w:marBottom w:val="0"/>
      <w:divBdr>
        <w:top w:val="none" w:sz="0" w:space="0" w:color="auto"/>
        <w:left w:val="none" w:sz="0" w:space="0" w:color="auto"/>
        <w:bottom w:val="none" w:sz="0" w:space="0" w:color="auto"/>
        <w:right w:val="none" w:sz="0" w:space="0" w:color="auto"/>
      </w:divBdr>
    </w:div>
    <w:div w:id="1389843572">
      <w:bodyDiv w:val="1"/>
      <w:marLeft w:val="0"/>
      <w:marRight w:val="0"/>
      <w:marTop w:val="0"/>
      <w:marBottom w:val="0"/>
      <w:divBdr>
        <w:top w:val="none" w:sz="0" w:space="0" w:color="auto"/>
        <w:left w:val="none" w:sz="0" w:space="0" w:color="auto"/>
        <w:bottom w:val="none" w:sz="0" w:space="0" w:color="auto"/>
        <w:right w:val="none" w:sz="0" w:space="0" w:color="auto"/>
      </w:divBdr>
      <w:divsChild>
        <w:div w:id="1403723984">
          <w:marLeft w:val="0"/>
          <w:marRight w:val="0"/>
          <w:marTop w:val="0"/>
          <w:marBottom w:val="0"/>
          <w:divBdr>
            <w:top w:val="none" w:sz="0" w:space="0" w:color="auto"/>
            <w:left w:val="none" w:sz="0" w:space="0" w:color="auto"/>
            <w:bottom w:val="none" w:sz="0" w:space="0" w:color="auto"/>
            <w:right w:val="none" w:sz="0" w:space="0" w:color="auto"/>
          </w:divBdr>
          <w:divsChild>
            <w:div w:id="382607031">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1509368406">
      <w:bodyDiv w:val="1"/>
      <w:marLeft w:val="0"/>
      <w:marRight w:val="0"/>
      <w:marTop w:val="0"/>
      <w:marBottom w:val="0"/>
      <w:divBdr>
        <w:top w:val="none" w:sz="0" w:space="0" w:color="auto"/>
        <w:left w:val="none" w:sz="0" w:space="0" w:color="auto"/>
        <w:bottom w:val="none" w:sz="0" w:space="0" w:color="auto"/>
        <w:right w:val="none" w:sz="0" w:space="0" w:color="auto"/>
      </w:divBdr>
      <w:divsChild>
        <w:div w:id="1997494317">
          <w:marLeft w:val="0"/>
          <w:marRight w:val="0"/>
          <w:marTop w:val="0"/>
          <w:marBottom w:val="0"/>
          <w:divBdr>
            <w:top w:val="none" w:sz="0" w:space="0" w:color="auto"/>
            <w:left w:val="none" w:sz="0" w:space="0" w:color="auto"/>
            <w:bottom w:val="none" w:sz="0" w:space="0" w:color="auto"/>
            <w:right w:val="none" w:sz="0" w:space="0" w:color="auto"/>
          </w:divBdr>
          <w:divsChild>
            <w:div w:id="1763145439">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1580365533">
      <w:bodyDiv w:val="1"/>
      <w:marLeft w:val="0"/>
      <w:marRight w:val="0"/>
      <w:marTop w:val="0"/>
      <w:marBottom w:val="0"/>
      <w:divBdr>
        <w:top w:val="none" w:sz="0" w:space="0" w:color="auto"/>
        <w:left w:val="none" w:sz="0" w:space="0" w:color="auto"/>
        <w:bottom w:val="none" w:sz="0" w:space="0" w:color="auto"/>
        <w:right w:val="none" w:sz="0" w:space="0" w:color="auto"/>
      </w:divBdr>
      <w:divsChild>
        <w:div w:id="2131044180">
          <w:marLeft w:val="0"/>
          <w:marRight w:val="0"/>
          <w:marTop w:val="0"/>
          <w:marBottom w:val="0"/>
          <w:divBdr>
            <w:top w:val="none" w:sz="0" w:space="0" w:color="auto"/>
            <w:left w:val="none" w:sz="0" w:space="0" w:color="auto"/>
            <w:bottom w:val="none" w:sz="0" w:space="0" w:color="auto"/>
            <w:right w:val="none" w:sz="0" w:space="0" w:color="auto"/>
          </w:divBdr>
          <w:divsChild>
            <w:div w:id="1423724479">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1707442160">
      <w:bodyDiv w:val="1"/>
      <w:marLeft w:val="0"/>
      <w:marRight w:val="0"/>
      <w:marTop w:val="0"/>
      <w:marBottom w:val="0"/>
      <w:divBdr>
        <w:top w:val="none" w:sz="0" w:space="0" w:color="auto"/>
        <w:left w:val="none" w:sz="0" w:space="0" w:color="auto"/>
        <w:bottom w:val="none" w:sz="0" w:space="0" w:color="auto"/>
        <w:right w:val="none" w:sz="0" w:space="0" w:color="auto"/>
      </w:divBdr>
      <w:divsChild>
        <w:div w:id="1478035833">
          <w:marLeft w:val="0"/>
          <w:marRight w:val="0"/>
          <w:marTop w:val="0"/>
          <w:marBottom w:val="0"/>
          <w:divBdr>
            <w:top w:val="none" w:sz="0" w:space="0" w:color="auto"/>
            <w:left w:val="none" w:sz="0" w:space="0" w:color="auto"/>
            <w:bottom w:val="none" w:sz="0" w:space="0" w:color="auto"/>
            <w:right w:val="none" w:sz="0" w:space="0" w:color="auto"/>
          </w:divBdr>
          <w:divsChild>
            <w:div w:id="950817977">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1778792506">
      <w:bodyDiv w:val="1"/>
      <w:marLeft w:val="0"/>
      <w:marRight w:val="0"/>
      <w:marTop w:val="0"/>
      <w:marBottom w:val="0"/>
      <w:divBdr>
        <w:top w:val="none" w:sz="0" w:space="0" w:color="auto"/>
        <w:left w:val="none" w:sz="0" w:space="0" w:color="auto"/>
        <w:bottom w:val="none" w:sz="0" w:space="0" w:color="auto"/>
        <w:right w:val="none" w:sz="0" w:space="0" w:color="auto"/>
      </w:divBdr>
    </w:div>
    <w:div w:id="18558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mmb-stat/documents/budget/2018-19-biennial-budget-books/governors-recommendations-january-2017/transportation-department.pdf"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n.gov/mmb-stat/documents/budget/2018-19-biennial-budget-books/governors-recommendations-january-2017/transportation-department.pdf" TargetMode="External"/><Relationship Id="rId17" Type="http://schemas.openxmlformats.org/officeDocument/2006/relationships/hyperlink" Target="mailto:scott.r.peterson@state.mn.us"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ov/mmb-stat/documents/budget/2018-19-biennial-budget-books/governors-recommendations-january-2017/transportation-department.pdf"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mn.gov/mmb-stat/documents/budget/2018-19-biennial-budget-books/governors-recommendations-january-2017/transportation-departmen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900" b="1" i="0" u="none" strike="noStrike" baseline="0">
                <a:solidFill>
                  <a:srgbClr val="000000"/>
                </a:solidFill>
                <a:latin typeface="Times New Roman"/>
                <a:ea typeface="Times New Roman"/>
                <a:cs typeface="Times New Roman"/>
              </a:defRPr>
            </a:pPr>
            <a:r>
              <a:rPr lang="en-US"/>
              <a:t>Statewide Fleet Size Trend</a:t>
            </a:r>
          </a:p>
        </c:rich>
      </c:tx>
      <c:layout>
        <c:manualLayout>
          <c:xMode val="edge"/>
          <c:yMode val="edge"/>
          <c:x val="0.32741398446170938"/>
          <c:y val="1.9575856443719442E-2"/>
        </c:manualLayout>
      </c:layout>
      <c:overlay val="0"/>
      <c:spPr>
        <a:noFill/>
        <a:ln w="25400">
          <a:noFill/>
        </a:ln>
      </c:spPr>
    </c:title>
    <c:autoTitleDeleted val="0"/>
    <c:plotArea>
      <c:layout>
        <c:manualLayout>
          <c:layoutTarget val="inner"/>
          <c:xMode val="edge"/>
          <c:yMode val="edge"/>
          <c:x val="9.340551181102362E-2"/>
          <c:y val="0.15171288743882577"/>
          <c:w val="0.87036539006567837"/>
          <c:h val="0.69004893964111025"/>
        </c:manualLayout>
      </c:layout>
      <c:lineChart>
        <c:grouping val="standard"/>
        <c:varyColors val="0"/>
        <c:ser>
          <c:idx val="2"/>
          <c:order val="0"/>
          <c:tx>
            <c:strRef>
              <c:f>T!$A$188:$E$188</c:f>
              <c:strCache>
                <c:ptCount val="1"/>
                <c:pt idx="0">
                  <c:v>Total Number of Units</c:v>
                </c:pt>
              </c:strCache>
            </c:strRef>
          </c:tx>
          <c:spPr>
            <a:ln w="25400">
              <a:solidFill>
                <a:srgbClr val="FFFF00"/>
              </a:solidFill>
              <a:prstDash val="solid"/>
            </a:ln>
          </c:spPr>
          <c:marker>
            <c:symbol val="triangle"/>
            <c:size val="7"/>
            <c:spPr>
              <a:solidFill>
                <a:srgbClr val="FFFF00"/>
              </a:solidFill>
              <a:ln>
                <a:solidFill>
                  <a:srgbClr val="FFFF00"/>
                </a:solidFill>
                <a:prstDash val="solid"/>
              </a:ln>
            </c:spPr>
          </c:marker>
          <c:cat>
            <c:strRef>
              <c:f>T!$A$190:$A$246</c:f>
              <c:strCache>
                <c:ptCount val="57"/>
                <c:pt idx="0">
                  <c:v>Q3-02</c:v>
                </c:pt>
                <c:pt idx="1">
                  <c:v>Q4-02</c:v>
                </c:pt>
                <c:pt idx="2">
                  <c:v>Q1-03</c:v>
                </c:pt>
                <c:pt idx="3">
                  <c:v>Q2-03</c:v>
                </c:pt>
                <c:pt idx="4">
                  <c:v>Q3-03</c:v>
                </c:pt>
                <c:pt idx="5">
                  <c:v>Q4-03</c:v>
                </c:pt>
                <c:pt idx="6">
                  <c:v>Q1-04</c:v>
                </c:pt>
                <c:pt idx="7">
                  <c:v>Q2-04</c:v>
                </c:pt>
                <c:pt idx="8">
                  <c:v>Q3-04</c:v>
                </c:pt>
                <c:pt idx="9">
                  <c:v>Q4-04</c:v>
                </c:pt>
                <c:pt idx="10">
                  <c:v>Q1-05</c:v>
                </c:pt>
                <c:pt idx="11">
                  <c:v>Q2-05</c:v>
                </c:pt>
                <c:pt idx="12">
                  <c:v>Q3-05</c:v>
                </c:pt>
                <c:pt idx="13">
                  <c:v>Q4-05</c:v>
                </c:pt>
                <c:pt idx="14">
                  <c:v>Q1-06</c:v>
                </c:pt>
                <c:pt idx="15">
                  <c:v>Q2-06</c:v>
                </c:pt>
                <c:pt idx="16">
                  <c:v>Q3-06</c:v>
                </c:pt>
                <c:pt idx="17">
                  <c:v>Q4-06</c:v>
                </c:pt>
                <c:pt idx="18">
                  <c:v>Q1-07</c:v>
                </c:pt>
                <c:pt idx="19">
                  <c:v>Q2-07</c:v>
                </c:pt>
                <c:pt idx="20">
                  <c:v>Q3-07</c:v>
                </c:pt>
                <c:pt idx="21">
                  <c:v>Q4-07</c:v>
                </c:pt>
                <c:pt idx="22">
                  <c:v>Q1-08</c:v>
                </c:pt>
                <c:pt idx="23">
                  <c:v>Q2-08</c:v>
                </c:pt>
                <c:pt idx="24">
                  <c:v>Q3-08</c:v>
                </c:pt>
                <c:pt idx="25">
                  <c:v>Q4-08</c:v>
                </c:pt>
                <c:pt idx="26">
                  <c:v>Q1-09</c:v>
                </c:pt>
                <c:pt idx="27">
                  <c:v>Q2-09</c:v>
                </c:pt>
                <c:pt idx="28">
                  <c:v>Q3-09</c:v>
                </c:pt>
                <c:pt idx="29">
                  <c:v>Q4-09</c:v>
                </c:pt>
                <c:pt idx="30">
                  <c:v>Q1-10</c:v>
                </c:pt>
                <c:pt idx="31">
                  <c:v>Q2-10</c:v>
                </c:pt>
                <c:pt idx="32">
                  <c:v>Q3-10</c:v>
                </c:pt>
                <c:pt idx="33">
                  <c:v>Q4-10</c:v>
                </c:pt>
                <c:pt idx="34">
                  <c:v>Q1-11</c:v>
                </c:pt>
                <c:pt idx="35">
                  <c:v>Q3-11</c:v>
                </c:pt>
                <c:pt idx="36">
                  <c:v>Q4-11</c:v>
                </c:pt>
                <c:pt idx="37">
                  <c:v>Q1-12</c:v>
                </c:pt>
                <c:pt idx="38">
                  <c:v>Q2-12</c:v>
                </c:pt>
                <c:pt idx="39">
                  <c:v>Q3-12</c:v>
                </c:pt>
                <c:pt idx="40">
                  <c:v>Q4-12</c:v>
                </c:pt>
                <c:pt idx="41">
                  <c:v>Q1-13</c:v>
                </c:pt>
                <c:pt idx="42">
                  <c:v>Q2-13</c:v>
                </c:pt>
                <c:pt idx="43">
                  <c:v>Q3-13</c:v>
                </c:pt>
                <c:pt idx="44">
                  <c:v>Q4-13</c:v>
                </c:pt>
                <c:pt idx="45">
                  <c:v>Q1-14</c:v>
                </c:pt>
                <c:pt idx="46">
                  <c:v>Q2-14</c:v>
                </c:pt>
                <c:pt idx="47">
                  <c:v>Q3-14</c:v>
                </c:pt>
                <c:pt idx="48">
                  <c:v>Q4-14</c:v>
                </c:pt>
                <c:pt idx="49">
                  <c:v>Q1-15</c:v>
                </c:pt>
                <c:pt idx="50">
                  <c:v>Q2-15</c:v>
                </c:pt>
                <c:pt idx="51">
                  <c:v>Q3-15</c:v>
                </c:pt>
                <c:pt idx="52">
                  <c:v>Q4-15</c:v>
                </c:pt>
                <c:pt idx="53">
                  <c:v>Q1-16</c:v>
                </c:pt>
                <c:pt idx="54">
                  <c:v>Q2-16</c:v>
                </c:pt>
                <c:pt idx="55">
                  <c:v>Q3-16</c:v>
                </c:pt>
                <c:pt idx="56">
                  <c:v>Q4-16</c:v>
                </c:pt>
              </c:strCache>
            </c:strRef>
          </c:cat>
          <c:val>
            <c:numRef>
              <c:f>T!$E$190:$E$246</c:f>
              <c:numCache>
                <c:formatCode>General</c:formatCode>
                <c:ptCount val="57"/>
                <c:pt idx="0">
                  <c:v>4309</c:v>
                </c:pt>
                <c:pt idx="1">
                  <c:v>3934</c:v>
                </c:pt>
                <c:pt idx="2">
                  <c:v>3975</c:v>
                </c:pt>
                <c:pt idx="3">
                  <c:v>3800</c:v>
                </c:pt>
                <c:pt idx="4">
                  <c:v>3672</c:v>
                </c:pt>
                <c:pt idx="5">
                  <c:v>3524</c:v>
                </c:pt>
                <c:pt idx="6">
                  <c:v>3529</c:v>
                </c:pt>
                <c:pt idx="7">
                  <c:v>3694</c:v>
                </c:pt>
                <c:pt idx="8">
                  <c:v>3576</c:v>
                </c:pt>
                <c:pt idx="9">
                  <c:v>3552</c:v>
                </c:pt>
                <c:pt idx="10">
                  <c:v>3633</c:v>
                </c:pt>
                <c:pt idx="11">
                  <c:v>3600</c:v>
                </c:pt>
                <c:pt idx="12">
                  <c:v>3504</c:v>
                </c:pt>
                <c:pt idx="13">
                  <c:v>3467</c:v>
                </c:pt>
                <c:pt idx="14">
                  <c:v>3486</c:v>
                </c:pt>
                <c:pt idx="15">
                  <c:v>3420</c:v>
                </c:pt>
                <c:pt idx="16">
                  <c:v>3424</c:v>
                </c:pt>
                <c:pt idx="17">
                  <c:v>3385</c:v>
                </c:pt>
                <c:pt idx="18">
                  <c:v>3366</c:v>
                </c:pt>
                <c:pt idx="19">
                  <c:v>3418</c:v>
                </c:pt>
                <c:pt idx="20">
                  <c:v>3382</c:v>
                </c:pt>
                <c:pt idx="21">
                  <c:v>3288</c:v>
                </c:pt>
                <c:pt idx="22">
                  <c:v>3300</c:v>
                </c:pt>
                <c:pt idx="23">
                  <c:v>3289</c:v>
                </c:pt>
                <c:pt idx="24">
                  <c:v>3242</c:v>
                </c:pt>
                <c:pt idx="25">
                  <c:v>3259</c:v>
                </c:pt>
                <c:pt idx="26">
                  <c:v>3465</c:v>
                </c:pt>
                <c:pt idx="27">
                  <c:v>3510</c:v>
                </c:pt>
                <c:pt idx="28">
                  <c:v>3484</c:v>
                </c:pt>
                <c:pt idx="29">
                  <c:v>3460</c:v>
                </c:pt>
                <c:pt idx="30">
                  <c:v>3485</c:v>
                </c:pt>
                <c:pt idx="31">
                  <c:v>3484</c:v>
                </c:pt>
                <c:pt idx="32">
                  <c:v>3484</c:v>
                </c:pt>
                <c:pt idx="33">
                  <c:v>3496</c:v>
                </c:pt>
                <c:pt idx="34">
                  <c:v>3520</c:v>
                </c:pt>
                <c:pt idx="35">
                  <c:v>3684</c:v>
                </c:pt>
                <c:pt idx="36">
                  <c:v>3605</c:v>
                </c:pt>
                <c:pt idx="37">
                  <c:v>3588</c:v>
                </c:pt>
                <c:pt idx="38">
                  <c:v>3549</c:v>
                </c:pt>
                <c:pt idx="39">
                  <c:v>3594</c:v>
                </c:pt>
                <c:pt idx="40">
                  <c:v>3546</c:v>
                </c:pt>
                <c:pt idx="41">
                  <c:v>3634</c:v>
                </c:pt>
                <c:pt idx="42">
                  <c:v>3666</c:v>
                </c:pt>
                <c:pt idx="43">
                  <c:v>3416</c:v>
                </c:pt>
                <c:pt idx="44">
                  <c:v>3424</c:v>
                </c:pt>
                <c:pt idx="45">
                  <c:v>3405</c:v>
                </c:pt>
                <c:pt idx="46">
                  <c:v>3393</c:v>
                </c:pt>
                <c:pt idx="47">
                  <c:v>3394</c:v>
                </c:pt>
                <c:pt idx="48">
                  <c:v>3382</c:v>
                </c:pt>
                <c:pt idx="49">
                  <c:v>3421</c:v>
                </c:pt>
                <c:pt idx="50">
                  <c:v>3422</c:v>
                </c:pt>
                <c:pt idx="51">
                  <c:v>3436</c:v>
                </c:pt>
                <c:pt idx="52">
                  <c:v>3533</c:v>
                </c:pt>
                <c:pt idx="53">
                  <c:v>3418</c:v>
                </c:pt>
                <c:pt idx="54">
                  <c:v>3378</c:v>
                </c:pt>
                <c:pt idx="55">
                  <c:v>3365</c:v>
                </c:pt>
                <c:pt idx="56">
                  <c:v>3361</c:v>
                </c:pt>
              </c:numCache>
            </c:numRef>
          </c:val>
          <c:smooth val="1"/>
        </c:ser>
        <c:dLbls>
          <c:showLegendKey val="0"/>
          <c:showVal val="0"/>
          <c:showCatName val="0"/>
          <c:showSerName val="0"/>
          <c:showPercent val="0"/>
          <c:showBubbleSize val="0"/>
        </c:dLbls>
        <c:marker val="1"/>
        <c:smooth val="0"/>
        <c:axId val="262915816"/>
        <c:axId val="262913072"/>
      </c:lineChart>
      <c:catAx>
        <c:axId val="262915816"/>
        <c:scaling>
          <c:orientation val="minMax"/>
        </c:scaling>
        <c:delete val="0"/>
        <c:axPos val="b"/>
        <c:numFmt formatCode="[$-409]mmm\-yy;@" sourceLinked="0"/>
        <c:majorTickMark val="out"/>
        <c:minorTickMark val="none"/>
        <c:tickLblPos val="nextTo"/>
        <c:spPr>
          <a:ln w="3175">
            <a:solidFill>
              <a:srgbClr val="000000"/>
            </a:solidFill>
            <a:prstDash val="solid"/>
          </a:ln>
        </c:spPr>
        <c:txPr>
          <a:bodyPr rot="3000000" vert="horz"/>
          <a:lstStyle/>
          <a:p>
            <a:pPr>
              <a:defRPr sz="1000" b="0" i="0" u="none" strike="noStrike" baseline="0">
                <a:solidFill>
                  <a:srgbClr val="000000"/>
                </a:solidFill>
                <a:latin typeface="Times New Roman"/>
                <a:ea typeface="Times New Roman"/>
                <a:cs typeface="Times New Roman"/>
              </a:defRPr>
            </a:pPr>
            <a:endParaRPr lang="en-US"/>
          </a:p>
        </c:txPr>
        <c:crossAx val="262913072"/>
        <c:crosses val="autoZero"/>
        <c:auto val="0"/>
        <c:lblAlgn val="ctr"/>
        <c:lblOffset val="100"/>
        <c:tickLblSkip val="1"/>
        <c:tickMarkSkip val="1"/>
        <c:noMultiLvlLbl val="0"/>
      </c:catAx>
      <c:valAx>
        <c:axId val="262913072"/>
        <c:scaling>
          <c:orientation val="minMax"/>
        </c:scaling>
        <c:delete val="0"/>
        <c:axPos val="l"/>
        <c:majorGridlines>
          <c:spPr>
            <a:ln w="3175">
              <a:solidFill>
                <a:srgbClr val="000000"/>
              </a:solidFill>
              <a:prstDash val="solid"/>
            </a:ln>
          </c:spPr>
        </c:majorGridlines>
        <c:title>
          <c:tx>
            <c:rich>
              <a:bodyPr/>
              <a:lstStyle/>
              <a:p>
                <a:pPr>
                  <a:defRPr sz="850" b="1" i="0" u="none" strike="noStrike" baseline="0">
                    <a:solidFill>
                      <a:srgbClr val="000000"/>
                    </a:solidFill>
                    <a:latin typeface="Times New Roman"/>
                    <a:ea typeface="Times New Roman"/>
                    <a:cs typeface="Times New Roman"/>
                  </a:defRPr>
                </a:pPr>
                <a:r>
                  <a:rPr lang="en-US"/>
                  <a:t>Number of Units </a:t>
                </a:r>
              </a:p>
            </c:rich>
          </c:tx>
          <c:layout>
            <c:manualLayout>
              <c:xMode val="edge"/>
              <c:yMode val="edge"/>
              <c:x val="6.8672753933927281E-3"/>
              <c:y val="0.4171575541009180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62915816"/>
        <c:crosses val="autoZero"/>
        <c:crossBetween val="between"/>
      </c:valAx>
      <c:spPr>
        <a:gradFill rotWithShape="0">
          <a:gsLst>
            <a:gs pos="0">
              <a:srgbClr val="99CCFF"/>
            </a:gs>
            <a:gs pos="50000">
              <a:srgbClr val="99CCFF">
                <a:gamma/>
                <a:shade val="76078"/>
                <a:invGamma/>
              </a:srgbClr>
            </a:gs>
            <a:gs pos="100000">
              <a:srgbClr val="99CCFF"/>
            </a:gs>
          </a:gsLst>
          <a:lin ang="5400000" scaled="1"/>
        </a:gradFill>
        <a:ln w="12700">
          <a:solidFill>
            <a:srgbClr val="808080"/>
          </a:solidFill>
          <a:prstDash val="solid"/>
        </a:ln>
      </c:spPr>
    </c:plotArea>
    <c:legend>
      <c:legendPos val="b"/>
      <c:layout>
        <c:manualLayout>
          <c:xMode val="edge"/>
          <c:yMode val="edge"/>
          <c:x val="0.32180961754780651"/>
          <c:y val="0.96247960848287228"/>
          <c:w val="0.39694428821397326"/>
          <c:h val="3.9151712887438822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Times New Roman"/>
                <a:cs typeface="Times New Roman"/>
              </a:defRPr>
            </a:pPr>
            <a:r>
              <a:rPr lang="en-US" sz="1800" b="1" i="0" u="none" strike="noStrike" baseline="0">
                <a:solidFill>
                  <a:srgbClr val="000000"/>
                </a:solidFill>
                <a:latin typeface="Times New Roman"/>
                <a:cs typeface="Times New Roman"/>
              </a:rPr>
              <a:t>Fleet Size by District/Office</a:t>
            </a:r>
            <a:endParaRPr lang="en-US" sz="1800" b="0" i="0" u="none" strike="noStrike" baseline="0">
              <a:solidFill>
                <a:srgbClr val="000000"/>
              </a:solidFill>
              <a:latin typeface="Times New Roman"/>
              <a:cs typeface="Times New Roman"/>
            </a:endParaRPr>
          </a:p>
        </c:rich>
      </c:tx>
      <c:layout>
        <c:manualLayout>
          <c:xMode val="edge"/>
          <c:yMode val="edge"/>
          <c:x val="0.43174250832408473"/>
          <c:y val="1.9575856443719442E-2"/>
        </c:manualLayout>
      </c:layout>
      <c:overlay val="0"/>
      <c:spPr>
        <a:noFill/>
        <a:ln w="25400">
          <a:noFill/>
        </a:ln>
      </c:spPr>
    </c:title>
    <c:autoTitleDeleted val="0"/>
    <c:plotArea>
      <c:layout>
        <c:manualLayout>
          <c:layoutTarget val="inner"/>
          <c:xMode val="edge"/>
          <c:yMode val="edge"/>
          <c:x val="7.9911209766925714E-2"/>
          <c:y val="0.13866231647634591"/>
          <c:w val="0.90788013318534966"/>
          <c:h val="0.72920065252854993"/>
        </c:manualLayout>
      </c:layout>
      <c:barChart>
        <c:barDir val="col"/>
        <c:grouping val="clustered"/>
        <c:varyColors val="0"/>
        <c:ser>
          <c:idx val="2"/>
          <c:order val="0"/>
          <c:tx>
            <c:strRef>
              <c:f>D!$C$1</c:f>
              <c:strCache>
                <c:ptCount val="1"/>
                <c:pt idx="0">
                  <c:v>Q3-02</c:v>
                </c:pt>
              </c:strCache>
            </c:strRef>
          </c:tx>
          <c:spPr>
            <a:gradFill rotWithShape="0">
              <a:gsLst>
                <a:gs pos="0">
                  <a:srgbClr val="FFFFCC">
                    <a:gamma/>
                    <a:shade val="46275"/>
                    <a:invGamma/>
                  </a:srgbClr>
                </a:gs>
                <a:gs pos="50000">
                  <a:srgbClr val="FFFFCC"/>
                </a:gs>
                <a:gs pos="100000">
                  <a:srgbClr val="FFFFCC">
                    <a:gamma/>
                    <a:shade val="46275"/>
                    <a:invGamma/>
                  </a:srgbClr>
                </a:gs>
              </a:gsLst>
              <a:lin ang="0" scaled="1"/>
            </a:gradFill>
            <a:ln w="12700">
              <a:solidFill>
                <a:srgbClr val="000000"/>
              </a:solidFill>
              <a:prstDash val="solid"/>
            </a:ln>
          </c:spPr>
          <c:invertIfNegative val="0"/>
          <c:cat>
            <c:strRef>
              <c:f>D!$A$45:$A$53</c:f>
              <c:strCache>
                <c:ptCount val="9"/>
                <c:pt idx="0">
                  <c:v>District 1</c:v>
                </c:pt>
                <c:pt idx="1">
                  <c:v>District 2</c:v>
                </c:pt>
                <c:pt idx="2">
                  <c:v>District 3</c:v>
                </c:pt>
                <c:pt idx="3">
                  <c:v>District 4</c:v>
                </c:pt>
                <c:pt idx="4">
                  <c:v>District 6</c:v>
                </c:pt>
                <c:pt idx="5">
                  <c:v>District 7</c:v>
                </c:pt>
                <c:pt idx="6">
                  <c:v>District 8</c:v>
                </c:pt>
                <c:pt idx="7">
                  <c:v>Metro </c:v>
                </c:pt>
                <c:pt idx="8">
                  <c:v>Central Office</c:v>
                </c:pt>
              </c:strCache>
            </c:strRef>
          </c:cat>
          <c:val>
            <c:numRef>
              <c:f>D!$C$45:$C$53</c:f>
              <c:numCache>
                <c:formatCode>General</c:formatCode>
                <c:ptCount val="9"/>
                <c:pt idx="0">
                  <c:v>446</c:v>
                </c:pt>
                <c:pt idx="1">
                  <c:v>315</c:v>
                </c:pt>
                <c:pt idx="2">
                  <c:v>450</c:v>
                </c:pt>
                <c:pt idx="3">
                  <c:v>316</c:v>
                </c:pt>
                <c:pt idx="4">
                  <c:v>452</c:v>
                </c:pt>
                <c:pt idx="5">
                  <c:v>203</c:v>
                </c:pt>
                <c:pt idx="6">
                  <c:v>224</c:v>
                </c:pt>
                <c:pt idx="7">
                  <c:v>1094</c:v>
                </c:pt>
                <c:pt idx="8">
                  <c:v>648</c:v>
                </c:pt>
              </c:numCache>
            </c:numRef>
          </c:val>
        </c:ser>
        <c:ser>
          <c:idx val="0"/>
          <c:order val="1"/>
          <c:tx>
            <c:strRef>
              <c:f>D!$D$1</c:f>
              <c:strCache>
                <c:ptCount val="1"/>
                <c:pt idx="0">
                  <c:v>Q4-15</c:v>
                </c:pt>
              </c:strCache>
            </c:strRef>
          </c:tx>
          <c:spPr>
            <a:gradFill rotWithShape="0">
              <a:gsLst>
                <a:gs pos="0">
                  <a:srgbClr val="FFCC99"/>
                </a:gs>
                <a:gs pos="100000">
                  <a:srgbClr val="FFCC99">
                    <a:gamma/>
                    <a:shade val="56078"/>
                    <a:invGamma/>
                  </a:srgbClr>
                </a:gs>
              </a:gsLst>
              <a:lin ang="0" scaled="1"/>
            </a:gradFill>
            <a:ln w="12700">
              <a:solidFill>
                <a:srgbClr val="000000"/>
              </a:solidFill>
              <a:prstDash val="solid"/>
            </a:ln>
          </c:spPr>
          <c:invertIfNegative val="0"/>
          <c:val>
            <c:numRef>
              <c:f>D!$D$45:$D$53</c:f>
              <c:numCache>
                <c:formatCode>General</c:formatCode>
                <c:ptCount val="9"/>
                <c:pt idx="0">
                  <c:v>383</c:v>
                </c:pt>
                <c:pt idx="1">
                  <c:v>221</c:v>
                </c:pt>
                <c:pt idx="2">
                  <c:v>378</c:v>
                </c:pt>
                <c:pt idx="3">
                  <c:v>225</c:v>
                </c:pt>
                <c:pt idx="4">
                  <c:v>406</c:v>
                </c:pt>
                <c:pt idx="5">
                  <c:v>296</c:v>
                </c:pt>
                <c:pt idx="6">
                  <c:v>197</c:v>
                </c:pt>
                <c:pt idx="7">
                  <c:v>1034</c:v>
                </c:pt>
                <c:pt idx="8">
                  <c:v>393</c:v>
                </c:pt>
              </c:numCache>
            </c:numRef>
          </c:val>
        </c:ser>
        <c:ser>
          <c:idx val="1"/>
          <c:order val="2"/>
          <c:tx>
            <c:strRef>
              <c:f>D!$E$1</c:f>
              <c:strCache>
                <c:ptCount val="1"/>
                <c:pt idx="0">
                  <c:v>Q4-16</c:v>
                </c:pt>
              </c:strCache>
            </c:strRef>
          </c:tx>
          <c:spPr>
            <a:gradFill rotWithShape="0">
              <a:gsLst>
                <a:gs pos="0">
                  <a:srgbClr val="C0C0C0">
                    <a:gamma/>
                    <a:shade val="46275"/>
                    <a:invGamma/>
                  </a:srgbClr>
                </a:gs>
                <a:gs pos="50000">
                  <a:srgbClr val="C0C0C0"/>
                </a:gs>
                <a:gs pos="100000">
                  <a:srgbClr val="C0C0C0">
                    <a:gamma/>
                    <a:shade val="46275"/>
                    <a:invGamma/>
                  </a:srgbClr>
                </a:gs>
              </a:gsLst>
              <a:lin ang="0" scaled="1"/>
            </a:gradFill>
            <a:ln w="12700">
              <a:solidFill>
                <a:srgbClr val="000000"/>
              </a:solidFill>
              <a:prstDash val="solid"/>
            </a:ln>
          </c:spPr>
          <c:invertIfNegative val="0"/>
          <c:dLbls>
            <c:spPr>
              <a:solidFill>
                <a:srgbClr val="99CCFF"/>
              </a:solidFill>
              <a:ln w="25400">
                <a:noFill/>
              </a:ln>
            </c:spPr>
            <c:txPr>
              <a:bodyPr/>
              <a:lstStyle/>
              <a:p>
                <a:pPr>
                  <a:defRPr sz="1150" b="1" i="0" u="none" strike="noStrike" baseline="0">
                    <a:solidFill>
                      <a:srgbClr val="000000"/>
                    </a:solidFill>
                    <a:latin typeface="Times New Roman"/>
                    <a:ea typeface="Times New Roman"/>
                    <a:cs typeface="Times New Roman"/>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D!$A$45:$A$53</c:f>
              <c:strCache>
                <c:ptCount val="9"/>
                <c:pt idx="0">
                  <c:v>District 1</c:v>
                </c:pt>
                <c:pt idx="1">
                  <c:v>District 2</c:v>
                </c:pt>
                <c:pt idx="2">
                  <c:v>District 3</c:v>
                </c:pt>
                <c:pt idx="3">
                  <c:v>District 4</c:v>
                </c:pt>
                <c:pt idx="4">
                  <c:v>District 6</c:v>
                </c:pt>
                <c:pt idx="5">
                  <c:v>District 7</c:v>
                </c:pt>
                <c:pt idx="6">
                  <c:v>District 8</c:v>
                </c:pt>
                <c:pt idx="7">
                  <c:v>Metro </c:v>
                </c:pt>
                <c:pt idx="8">
                  <c:v>Central Office</c:v>
                </c:pt>
              </c:strCache>
            </c:strRef>
          </c:cat>
          <c:val>
            <c:numRef>
              <c:f>D!$E$45:$E$53</c:f>
              <c:numCache>
                <c:formatCode>General</c:formatCode>
                <c:ptCount val="9"/>
                <c:pt idx="0">
                  <c:v>349</c:v>
                </c:pt>
                <c:pt idx="1">
                  <c:v>211</c:v>
                </c:pt>
                <c:pt idx="2">
                  <c:v>384</c:v>
                </c:pt>
                <c:pt idx="3">
                  <c:v>220</c:v>
                </c:pt>
                <c:pt idx="4">
                  <c:v>396</c:v>
                </c:pt>
                <c:pt idx="5">
                  <c:v>283</c:v>
                </c:pt>
                <c:pt idx="6">
                  <c:v>190</c:v>
                </c:pt>
                <c:pt idx="7">
                  <c:v>982</c:v>
                </c:pt>
                <c:pt idx="8">
                  <c:v>346</c:v>
                </c:pt>
              </c:numCache>
            </c:numRef>
          </c:val>
        </c:ser>
        <c:dLbls>
          <c:showLegendKey val="0"/>
          <c:showVal val="0"/>
          <c:showCatName val="0"/>
          <c:showSerName val="0"/>
          <c:showPercent val="0"/>
          <c:showBubbleSize val="0"/>
        </c:dLbls>
        <c:gapWidth val="150"/>
        <c:overlap val="30"/>
        <c:axId val="262910328"/>
        <c:axId val="262909152"/>
      </c:barChart>
      <c:catAx>
        <c:axId val="2629103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62909152"/>
        <c:crosses val="autoZero"/>
        <c:auto val="1"/>
        <c:lblAlgn val="ctr"/>
        <c:lblOffset val="100"/>
        <c:tickLblSkip val="1"/>
        <c:tickMarkSkip val="1"/>
        <c:noMultiLvlLbl val="0"/>
      </c:catAx>
      <c:valAx>
        <c:axId val="262909152"/>
        <c:scaling>
          <c:orientation val="minMax"/>
        </c:scaling>
        <c:delete val="0"/>
        <c:axPos val="l"/>
        <c:majorGridlines>
          <c:spPr>
            <a:ln w="3175">
              <a:solidFill>
                <a:srgbClr val="000000"/>
              </a:solidFill>
              <a:prstDash val="solid"/>
            </a:ln>
          </c:spPr>
        </c:majorGridlines>
        <c:title>
          <c:tx>
            <c:rich>
              <a:bodyPr/>
              <a:lstStyle/>
              <a:p>
                <a:pPr>
                  <a:defRPr sz="850" b="1" i="0" u="none" strike="noStrike" baseline="0">
                    <a:solidFill>
                      <a:srgbClr val="000000"/>
                    </a:solidFill>
                    <a:latin typeface="Times New Roman"/>
                    <a:ea typeface="Times New Roman"/>
                    <a:cs typeface="Times New Roman"/>
                  </a:defRPr>
                </a:pPr>
                <a:r>
                  <a:rPr lang="en-US"/>
                  <a:t>Number of Units </a:t>
                </a:r>
              </a:p>
            </c:rich>
          </c:tx>
          <c:layout>
            <c:manualLayout>
              <c:xMode val="edge"/>
              <c:yMode val="edge"/>
              <c:x val="5.7984064945477603E-3"/>
              <c:y val="0.4218678877392267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62910328"/>
        <c:crosses val="autoZero"/>
        <c:crossBetween val="between"/>
      </c:valAx>
      <c:spPr>
        <a:gradFill rotWithShape="0">
          <a:gsLst>
            <a:gs pos="0">
              <a:srgbClr val="99CCFF"/>
            </a:gs>
            <a:gs pos="50000">
              <a:srgbClr val="99CCFF">
                <a:gamma/>
                <a:shade val="76078"/>
                <a:invGamma/>
              </a:srgbClr>
            </a:gs>
            <a:gs pos="100000">
              <a:srgbClr val="99CCFF"/>
            </a:gs>
          </a:gsLst>
          <a:lin ang="5400000" scaled="1"/>
        </a:gradFill>
        <a:ln w="12700">
          <a:solidFill>
            <a:srgbClr val="808080"/>
          </a:solidFill>
          <a:prstDash val="solid"/>
        </a:ln>
      </c:spPr>
    </c:plotArea>
    <c:legend>
      <c:legendPos val="b"/>
      <c:layout>
        <c:manualLayout>
          <c:xMode val="edge"/>
          <c:yMode val="edge"/>
          <c:x val="0.45061043285238622"/>
          <c:y val="0.96247960848287228"/>
          <c:w val="0.16537180910099888"/>
          <c:h val="3.9151712887438822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MnDOT Assigned</a:t>
            </a:r>
            <a:r>
              <a:rPr lang="en-US" baseline="0"/>
              <a:t> and Take-Home Vehicles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'Assigned and Take Home'!$B$1</c:f>
              <c:strCache>
                <c:ptCount val="1"/>
                <c:pt idx="0">
                  <c:v>Assigned Units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'Assigned and Take Home'!$A$2:$A$8</c:f>
              <c:numCache>
                <c:formatCode>General</c:formatCode>
                <c:ptCount val="7"/>
                <c:pt idx="0">
                  <c:v>2010</c:v>
                </c:pt>
                <c:pt idx="1">
                  <c:v>2011</c:v>
                </c:pt>
                <c:pt idx="2">
                  <c:v>2012</c:v>
                </c:pt>
                <c:pt idx="3">
                  <c:v>2013</c:v>
                </c:pt>
                <c:pt idx="4">
                  <c:v>2014</c:v>
                </c:pt>
                <c:pt idx="5">
                  <c:v>2015</c:v>
                </c:pt>
                <c:pt idx="6">
                  <c:v>2016</c:v>
                </c:pt>
              </c:numCache>
            </c:numRef>
          </c:cat>
          <c:val>
            <c:numRef>
              <c:f>'Assigned and Take Home'!$B$2:$B$8</c:f>
              <c:numCache>
                <c:formatCode>General</c:formatCode>
                <c:ptCount val="7"/>
                <c:pt idx="0">
                  <c:v>289</c:v>
                </c:pt>
                <c:pt idx="1">
                  <c:v>288</c:v>
                </c:pt>
                <c:pt idx="2">
                  <c:v>289</c:v>
                </c:pt>
                <c:pt idx="3">
                  <c:v>279</c:v>
                </c:pt>
                <c:pt idx="4">
                  <c:v>287</c:v>
                </c:pt>
                <c:pt idx="5">
                  <c:v>267</c:v>
                </c:pt>
                <c:pt idx="6">
                  <c:v>228</c:v>
                </c:pt>
              </c:numCache>
            </c:numRef>
          </c:val>
          <c:smooth val="0"/>
        </c:ser>
        <c:ser>
          <c:idx val="1"/>
          <c:order val="1"/>
          <c:tx>
            <c:strRef>
              <c:f>'Assigned and Take Home'!$C$1</c:f>
              <c:strCache>
                <c:ptCount val="1"/>
                <c:pt idx="0">
                  <c:v>Take-Home Units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'Assigned and Take Home'!$A$2:$A$8</c:f>
              <c:numCache>
                <c:formatCode>General</c:formatCode>
                <c:ptCount val="7"/>
                <c:pt idx="0">
                  <c:v>2010</c:v>
                </c:pt>
                <c:pt idx="1">
                  <c:v>2011</c:v>
                </c:pt>
                <c:pt idx="2">
                  <c:v>2012</c:v>
                </c:pt>
                <c:pt idx="3">
                  <c:v>2013</c:v>
                </c:pt>
                <c:pt idx="4">
                  <c:v>2014</c:v>
                </c:pt>
                <c:pt idx="5">
                  <c:v>2015</c:v>
                </c:pt>
                <c:pt idx="6">
                  <c:v>2016</c:v>
                </c:pt>
              </c:numCache>
            </c:numRef>
          </c:cat>
          <c:val>
            <c:numRef>
              <c:f>'Assigned and Take Home'!$C$2:$C$8</c:f>
              <c:numCache>
                <c:formatCode>General</c:formatCode>
                <c:ptCount val="7"/>
                <c:pt idx="0">
                  <c:v>125</c:v>
                </c:pt>
                <c:pt idx="1">
                  <c:v>145</c:v>
                </c:pt>
                <c:pt idx="2">
                  <c:v>152</c:v>
                </c:pt>
                <c:pt idx="3">
                  <c:v>149</c:v>
                </c:pt>
                <c:pt idx="4">
                  <c:v>152</c:v>
                </c:pt>
                <c:pt idx="5">
                  <c:v>142</c:v>
                </c:pt>
                <c:pt idx="6">
                  <c:v>140</c:v>
                </c:pt>
              </c:numCache>
            </c:numRef>
          </c:val>
          <c:smooth val="0"/>
        </c:ser>
        <c:dLbls>
          <c:showLegendKey val="0"/>
          <c:showVal val="0"/>
          <c:showCatName val="0"/>
          <c:showSerName val="0"/>
          <c:showPercent val="0"/>
          <c:showBubbleSize val="0"/>
        </c:dLbls>
        <c:marker val="1"/>
        <c:smooth val="0"/>
        <c:axId val="262914640"/>
        <c:axId val="262908368"/>
      </c:lineChart>
      <c:catAx>
        <c:axId val="26291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908368"/>
        <c:crosses val="autoZero"/>
        <c:auto val="1"/>
        <c:lblAlgn val="ctr"/>
        <c:lblOffset val="100"/>
        <c:noMultiLvlLbl val="0"/>
      </c:catAx>
      <c:valAx>
        <c:axId val="26290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914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75000"/>
          <a:lumOff val="2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0.55272</cdr:x>
      <cdr:y>0.70636</cdr:y>
    </cdr:from>
    <cdr:to>
      <cdr:x>0.93785</cdr:x>
      <cdr:y>0.80587</cdr:y>
    </cdr:to>
    <cdr:sp macro="" textlink="">
      <cdr:nvSpPr>
        <cdr:cNvPr id="3" name="TextBox 2"/>
        <cdr:cNvSpPr txBox="1"/>
      </cdr:nvSpPr>
      <cdr:spPr>
        <a:xfrm xmlns:a="http://schemas.openxmlformats.org/drawingml/2006/main">
          <a:off x="4743450" y="4124325"/>
          <a:ext cx="3305175" cy="581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80">
              <a:effectLst/>
              <a:latin typeface="Times New Roman" panose="02020603050405020304" pitchFamily="18" charset="0"/>
              <a:ea typeface="+mn-ea"/>
              <a:cs typeface="+mn-cs"/>
            </a:rPr>
            <a:t>Starting Q3-13, three class codes and units marked for </a:t>
          </a:r>
          <a:endParaRPr lang="en-US" sz="880">
            <a:effectLst/>
            <a:latin typeface="Times New Roman" panose="02020603050405020304" pitchFamily="18" charset="0"/>
          </a:endParaRPr>
        </a:p>
        <a:p xmlns:a="http://schemas.openxmlformats.org/drawingml/2006/main">
          <a:r>
            <a:rPr lang="en-US" sz="880">
              <a:effectLst/>
              <a:latin typeface="Times New Roman" panose="02020603050405020304" pitchFamily="18" charset="0"/>
              <a:ea typeface="+mn-ea"/>
              <a:cs typeface="+mn-cs"/>
            </a:rPr>
            <a:t>disposal</a:t>
          </a:r>
          <a:r>
            <a:rPr lang="en-US" sz="880" baseline="0">
              <a:effectLst/>
              <a:latin typeface="Times New Roman" panose="02020603050405020304" pitchFamily="18" charset="0"/>
              <a:ea typeface="+mn-ea"/>
              <a:cs typeface="+mn-cs"/>
            </a:rPr>
            <a:t> are no longer included</a:t>
          </a:r>
          <a:endParaRPr lang="en-US" sz="880">
            <a:effectLst/>
            <a:latin typeface="Times New Roman" panose="02020603050405020304" pitchFamily="18" charset="0"/>
          </a:endParaRPr>
        </a:p>
        <a:p xmlns:a="http://schemas.openxmlformats.org/drawingml/2006/main">
          <a:r>
            <a:rPr lang="en-US" sz="1100" baseline="0"/>
            <a:t>.</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4B89-FDE1-43D6-BD48-8C8D453C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pete1ada</dc:creator>
  <cp:lastModifiedBy>GOPGuest</cp:lastModifiedBy>
  <cp:revision>2</cp:revision>
  <cp:lastPrinted>2014-10-30T20:19:00Z</cp:lastPrinted>
  <dcterms:created xsi:type="dcterms:W3CDTF">2017-02-22T23:13:00Z</dcterms:created>
  <dcterms:modified xsi:type="dcterms:W3CDTF">2017-02-22T23:13:00Z</dcterms:modified>
</cp:coreProperties>
</file>