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57" w:rsidRDefault="008D0C57" w:rsidP="008D0C57">
      <w:pPr>
        <w:tabs>
          <w:tab w:val="left" w:pos="0"/>
          <w:tab w:val="left" w:pos="1980"/>
          <w:tab w:val="left" w:pos="2340"/>
          <w:tab w:val="left" w:pos="2700"/>
          <w:tab w:val="left" w:pos="3060"/>
        </w:tabs>
        <w:spacing w:after="0"/>
        <w:ind w:right="360"/>
        <w:jc w:val="center"/>
        <w:rPr>
          <w:sz w:val="56"/>
        </w:rPr>
      </w:pPr>
      <w:bookmarkStart w:id="0" w:name="_GoBack"/>
      <w:bookmarkEnd w:id="0"/>
    </w:p>
    <w:p w:rsidR="008D0C57" w:rsidRDefault="008D0C57" w:rsidP="008D0C57">
      <w:pPr>
        <w:tabs>
          <w:tab w:val="left" w:pos="0"/>
          <w:tab w:val="left" w:pos="1980"/>
          <w:tab w:val="left" w:pos="2340"/>
          <w:tab w:val="left" w:pos="2700"/>
          <w:tab w:val="left" w:pos="3060"/>
        </w:tabs>
        <w:spacing w:after="0"/>
        <w:ind w:right="360"/>
        <w:jc w:val="center"/>
        <w:rPr>
          <w:sz w:val="56"/>
        </w:rPr>
      </w:pPr>
      <w:r>
        <w:rPr>
          <w:sz w:val="56"/>
        </w:rPr>
        <w:t>Bill Summary Comparison of</w:t>
      </w:r>
    </w:p>
    <w:p w:rsidR="008D0C57" w:rsidRDefault="008D0C57" w:rsidP="008D0C57">
      <w:pPr>
        <w:tabs>
          <w:tab w:val="left" w:pos="0"/>
          <w:tab w:val="left" w:pos="1980"/>
          <w:tab w:val="left" w:pos="2340"/>
          <w:tab w:val="left" w:pos="2700"/>
          <w:tab w:val="left" w:pos="3060"/>
        </w:tabs>
        <w:ind w:right="360"/>
        <w:jc w:val="center"/>
        <w:rPr>
          <w:sz w:val="56"/>
        </w:rPr>
      </w:pPr>
      <w:r>
        <w:rPr>
          <w:sz w:val="56"/>
        </w:rPr>
        <w:t>Health and Human Services</w:t>
      </w:r>
    </w:p>
    <w:p w:rsidR="008D0C57" w:rsidRDefault="008D0C57" w:rsidP="008D0C57">
      <w:pPr>
        <w:tabs>
          <w:tab w:val="left" w:pos="0"/>
          <w:tab w:val="left" w:pos="1980"/>
          <w:tab w:val="left" w:pos="2340"/>
          <w:tab w:val="left" w:pos="2700"/>
          <w:tab w:val="left" w:pos="3060"/>
        </w:tabs>
        <w:ind w:right="360"/>
        <w:jc w:val="center"/>
        <w:rPr>
          <w:sz w:val="56"/>
        </w:rPr>
      </w:pPr>
    </w:p>
    <w:p w:rsidR="008D0C57" w:rsidRDefault="008D0C57"/>
    <w:tbl>
      <w:tblPr>
        <w:tblW w:w="0" w:type="auto"/>
        <w:tblInd w:w="2448" w:type="dxa"/>
        <w:tblLook w:val="0000" w:firstRow="0" w:lastRow="0" w:firstColumn="0" w:lastColumn="0" w:noHBand="0" w:noVBand="0"/>
      </w:tblPr>
      <w:tblGrid>
        <w:gridCol w:w="7020"/>
        <w:gridCol w:w="7027"/>
      </w:tblGrid>
      <w:tr w:rsidR="008D0C57" w:rsidTr="002D1426">
        <w:tc>
          <w:tcPr>
            <w:tcW w:w="7020" w:type="dxa"/>
          </w:tcPr>
          <w:p w:rsidR="008D0C57" w:rsidRDefault="00766566" w:rsidP="002D1426">
            <w:pPr>
              <w:tabs>
                <w:tab w:val="left" w:pos="0"/>
                <w:tab w:val="left" w:pos="1980"/>
                <w:tab w:val="left" w:pos="2340"/>
                <w:tab w:val="left" w:pos="2700"/>
                <w:tab w:val="left" w:pos="3060"/>
              </w:tabs>
              <w:spacing w:before="100" w:beforeAutospacing="1" w:after="0"/>
              <w:ind w:right="360"/>
              <w:jc w:val="center"/>
              <w:rPr>
                <w:sz w:val="40"/>
              </w:rPr>
            </w:pPr>
            <w:r>
              <w:rPr>
                <w:sz w:val="40"/>
              </w:rPr>
              <w:t>Senate File: 800-3</w:t>
            </w:r>
          </w:p>
        </w:tc>
        <w:tc>
          <w:tcPr>
            <w:tcW w:w="7027" w:type="dxa"/>
          </w:tcPr>
          <w:p w:rsidR="008D0C57" w:rsidRDefault="00766566" w:rsidP="00766566">
            <w:pPr>
              <w:tabs>
                <w:tab w:val="left" w:pos="0"/>
                <w:tab w:val="left" w:pos="1980"/>
                <w:tab w:val="left" w:pos="2340"/>
                <w:tab w:val="left" w:pos="2700"/>
                <w:tab w:val="left" w:pos="3060"/>
              </w:tabs>
              <w:spacing w:before="100" w:beforeAutospacing="1" w:after="0"/>
              <w:ind w:right="360"/>
              <w:jc w:val="center"/>
              <w:rPr>
                <w:sz w:val="40"/>
              </w:rPr>
            </w:pPr>
            <w:r>
              <w:rPr>
                <w:sz w:val="40"/>
              </w:rPr>
              <w:t>House File: UES0800-2</w:t>
            </w:r>
          </w:p>
        </w:tc>
      </w:tr>
      <w:tr w:rsidR="008D0C57" w:rsidTr="00766566">
        <w:tc>
          <w:tcPr>
            <w:tcW w:w="7020" w:type="dxa"/>
            <w:vAlign w:val="center"/>
          </w:tcPr>
          <w:p w:rsidR="008D0C57" w:rsidRDefault="00766566" w:rsidP="00766566">
            <w:pPr>
              <w:tabs>
                <w:tab w:val="left" w:pos="0"/>
                <w:tab w:val="left" w:pos="1980"/>
                <w:tab w:val="left" w:pos="2340"/>
                <w:tab w:val="left" w:pos="2700"/>
                <w:tab w:val="left" w:pos="3060"/>
              </w:tabs>
              <w:spacing w:after="100" w:afterAutospacing="1"/>
              <w:ind w:right="360"/>
              <w:jc w:val="center"/>
              <w:rPr>
                <w:sz w:val="48"/>
              </w:rPr>
            </w:pPr>
            <w:r w:rsidRPr="00226F8D">
              <w:rPr>
                <w:i/>
                <w:sz w:val="36"/>
                <w:szCs w:val="36"/>
              </w:rPr>
              <w:t>House-only article</w:t>
            </w:r>
          </w:p>
        </w:tc>
        <w:tc>
          <w:tcPr>
            <w:tcW w:w="7027" w:type="dxa"/>
          </w:tcPr>
          <w:p w:rsidR="008D0C57" w:rsidRDefault="008D0C57" w:rsidP="00766566">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766566">
              <w:rPr>
                <w:sz w:val="48"/>
              </w:rPr>
              <w:t>7</w:t>
            </w:r>
            <w:r>
              <w:rPr>
                <w:sz w:val="48"/>
              </w:rPr>
              <w:t xml:space="preserve">: </w:t>
            </w:r>
            <w:r w:rsidR="00766566">
              <w:rPr>
                <w:sz w:val="48"/>
              </w:rPr>
              <w:t>Opiate Abuse Prevention</w:t>
            </w:r>
          </w:p>
        </w:tc>
      </w:tr>
    </w:tbl>
    <w:p w:rsidR="008D0C57" w:rsidRDefault="008D0C57" w:rsidP="008D0C57">
      <w:pPr>
        <w:tabs>
          <w:tab w:val="left" w:pos="0"/>
          <w:tab w:val="left" w:pos="1980"/>
          <w:tab w:val="left" w:pos="2340"/>
          <w:tab w:val="left" w:pos="2700"/>
          <w:tab w:val="left" w:pos="3060"/>
        </w:tabs>
        <w:spacing w:after="0"/>
        <w:ind w:right="360"/>
      </w:pPr>
    </w:p>
    <w:p w:rsidR="00965FC5" w:rsidRDefault="00965FC5" w:rsidP="008D0C57">
      <w:pPr>
        <w:tabs>
          <w:tab w:val="left" w:pos="0"/>
          <w:tab w:val="left" w:pos="1980"/>
          <w:tab w:val="left" w:pos="2340"/>
          <w:tab w:val="left" w:pos="2700"/>
          <w:tab w:val="left" w:pos="3060"/>
        </w:tabs>
        <w:spacing w:after="0"/>
        <w:ind w:right="360"/>
      </w:pPr>
    </w:p>
    <w:p w:rsidR="008D0C57" w:rsidRDefault="008D0C57" w:rsidP="008D0C57">
      <w:pPr>
        <w:tabs>
          <w:tab w:val="left" w:pos="0"/>
          <w:tab w:val="left" w:pos="1980"/>
          <w:tab w:val="left" w:pos="2340"/>
          <w:tab w:val="left" w:pos="2700"/>
          <w:tab w:val="left" w:pos="3060"/>
        </w:tabs>
        <w:spacing w:after="0"/>
        <w:ind w:right="360"/>
        <w:jc w:val="center"/>
      </w:pPr>
      <w:r>
        <w:t>Prepared by:</w:t>
      </w:r>
    </w:p>
    <w:p w:rsidR="008D0C57" w:rsidRDefault="008D0C57" w:rsidP="008D0C57">
      <w:pPr>
        <w:tabs>
          <w:tab w:val="left" w:pos="0"/>
          <w:tab w:val="left" w:pos="1980"/>
          <w:tab w:val="left" w:pos="2340"/>
          <w:tab w:val="left" w:pos="2700"/>
          <w:tab w:val="left" w:pos="3060"/>
        </w:tabs>
        <w:ind w:right="360"/>
        <w:jc w:val="center"/>
      </w:pPr>
      <w:r>
        <w:t>House Research and Senate Counsel, Research and Fiscal Analysis</w:t>
      </w:r>
    </w:p>
    <w:p w:rsidR="008D0C57" w:rsidRDefault="00766566" w:rsidP="008D0C57">
      <w:pPr>
        <w:jc w:val="center"/>
      </w:pPr>
      <w:r>
        <w:t>April 1</w:t>
      </w:r>
      <w:r w:rsidR="00846D38">
        <w:t>7</w:t>
      </w:r>
      <w:r>
        <w:t>, 2017</w:t>
      </w:r>
    </w:p>
    <w:p w:rsidR="00965FC5" w:rsidRDefault="00965FC5" w:rsidP="00965FC5"/>
    <w:p w:rsidR="00965FC5" w:rsidRDefault="00965FC5" w:rsidP="00766566">
      <w:pPr>
        <w:jc w:val="center"/>
      </w:pPr>
    </w:p>
    <w:p w:rsidR="00965FC5" w:rsidRDefault="00965FC5" w:rsidP="00965FC5">
      <w:pPr>
        <w:rPr>
          <w:b/>
        </w:rPr>
      </w:pPr>
    </w:p>
    <w:p w:rsidR="008D0C57" w:rsidRDefault="008D0C57">
      <w:pPr>
        <w:rPr>
          <w:b/>
        </w:rPr>
      </w:pPr>
    </w:p>
    <w:p w:rsidR="008D0C57" w:rsidRDefault="008D0C57" w:rsidP="008D0C57">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8D0C57" w:rsidRDefault="008D0C57" w:rsidP="008D0C57">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8D0C57" w:rsidRDefault="008D0C57">
      <w:pPr>
        <w:rPr>
          <w:b/>
        </w:rPr>
      </w:pPr>
    </w:p>
    <w:p w:rsidR="0022436D" w:rsidRDefault="0022436D">
      <w:pPr>
        <w:rPr>
          <w:b/>
        </w:rPr>
      </w:pPr>
      <w:r>
        <w:rPr>
          <w:b/>
        </w:rP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083B4B" w:rsidRPr="0022436D" w:rsidTr="00083B4B">
        <w:trPr>
          <w:tblHeader/>
          <w:jc w:val="center"/>
        </w:trPr>
        <w:tc>
          <w:tcPr>
            <w:tcW w:w="6210" w:type="dxa"/>
            <w:tcBorders>
              <w:bottom w:val="single" w:sz="4" w:space="0" w:color="auto"/>
            </w:tcBorders>
            <w:shd w:val="clear" w:color="auto" w:fill="CCCCCC"/>
            <w:vAlign w:val="center"/>
          </w:tcPr>
          <w:p w:rsidR="00083B4B" w:rsidRPr="0022436D" w:rsidRDefault="00083B4B" w:rsidP="00D355C2">
            <w:pPr>
              <w:pStyle w:val="Heading1"/>
              <w:spacing w:before="120" w:after="120"/>
              <w:jc w:val="center"/>
              <w:rPr>
                <w:sz w:val="24"/>
                <w:szCs w:val="24"/>
              </w:rPr>
            </w:pPr>
          </w:p>
        </w:tc>
        <w:tc>
          <w:tcPr>
            <w:tcW w:w="5760" w:type="dxa"/>
            <w:tcBorders>
              <w:bottom w:val="single" w:sz="4" w:space="0" w:color="auto"/>
            </w:tcBorders>
            <w:shd w:val="clear" w:color="auto" w:fill="CCCCCC"/>
            <w:vAlign w:val="center"/>
          </w:tcPr>
          <w:p w:rsidR="00083B4B" w:rsidRPr="0022436D" w:rsidRDefault="00083B4B" w:rsidP="00D355C2">
            <w:pPr>
              <w:pStyle w:val="Sectionnumber"/>
              <w:numPr>
                <w:ilvl w:val="0"/>
                <w:numId w:val="0"/>
              </w:numPr>
              <w:spacing w:before="120" w:beforeAutospacing="0" w:after="120" w:afterAutospacing="0"/>
              <w:rPr>
                <w:bCs/>
                <w:szCs w:val="24"/>
              </w:rPr>
            </w:pPr>
          </w:p>
        </w:tc>
        <w:tc>
          <w:tcPr>
            <w:tcW w:w="6102" w:type="dxa"/>
            <w:tcBorders>
              <w:bottom w:val="single" w:sz="4" w:space="0" w:color="auto"/>
            </w:tcBorders>
            <w:shd w:val="clear" w:color="auto" w:fill="CCCCCC"/>
            <w:vAlign w:val="center"/>
          </w:tcPr>
          <w:p w:rsidR="00083B4B" w:rsidRPr="0022436D" w:rsidRDefault="00083B4B" w:rsidP="003F766C">
            <w:pPr>
              <w:pStyle w:val="Sectionnumber"/>
              <w:numPr>
                <w:ilvl w:val="0"/>
                <w:numId w:val="0"/>
              </w:numPr>
              <w:spacing w:before="120" w:beforeAutospacing="0" w:after="120" w:afterAutospacing="0"/>
              <w:jc w:val="center"/>
              <w:rPr>
                <w:bCs/>
                <w:szCs w:val="24"/>
              </w:rPr>
            </w:pPr>
            <w:r w:rsidRPr="0022436D">
              <w:rPr>
                <w:bCs/>
                <w:szCs w:val="24"/>
              </w:rPr>
              <w:t xml:space="preserve">Article </w:t>
            </w:r>
            <w:r w:rsidR="003F766C">
              <w:rPr>
                <w:bCs/>
                <w:szCs w:val="24"/>
              </w:rPr>
              <w:t>7: Opiate Abuse and Prevention</w:t>
            </w:r>
          </w:p>
        </w:tc>
      </w:tr>
      <w:tr w:rsidR="002A1AC7" w:rsidRPr="0022436D" w:rsidTr="00083B4B">
        <w:trPr>
          <w:jc w:val="center"/>
        </w:trPr>
        <w:tc>
          <w:tcPr>
            <w:tcW w:w="6210" w:type="dxa"/>
            <w:shd w:val="clear" w:color="auto" w:fill="auto"/>
          </w:tcPr>
          <w:p w:rsidR="002A1AC7" w:rsidRPr="0022436D" w:rsidRDefault="002A1AC7" w:rsidP="00C403AB">
            <w:pPr>
              <w:pStyle w:val="Heading1"/>
              <w:keepNext w:val="0"/>
              <w:spacing w:after="120"/>
              <w:rPr>
                <w:sz w:val="24"/>
                <w:szCs w:val="24"/>
              </w:rPr>
            </w:pPr>
          </w:p>
        </w:tc>
        <w:tc>
          <w:tcPr>
            <w:tcW w:w="5760" w:type="dxa"/>
            <w:shd w:val="clear" w:color="auto" w:fill="auto"/>
          </w:tcPr>
          <w:p w:rsidR="002A1AC7" w:rsidRPr="0022436D" w:rsidRDefault="002A1AC7" w:rsidP="00C403AB">
            <w:pPr>
              <w:pStyle w:val="Sectionnumber"/>
              <w:numPr>
                <w:ilvl w:val="0"/>
                <w:numId w:val="0"/>
              </w:numPr>
              <w:spacing w:before="0" w:beforeAutospacing="0" w:after="120" w:afterAutospacing="0"/>
              <w:rPr>
                <w:bCs/>
                <w:szCs w:val="24"/>
              </w:rPr>
            </w:pPr>
          </w:p>
        </w:tc>
        <w:tc>
          <w:tcPr>
            <w:tcW w:w="6102" w:type="dxa"/>
            <w:shd w:val="clear" w:color="auto" w:fill="auto"/>
          </w:tcPr>
          <w:p w:rsidR="002A1AC7" w:rsidRDefault="002A1AC7" w:rsidP="00C403AB">
            <w:pPr>
              <w:pStyle w:val="Sectionnumber"/>
              <w:numPr>
                <w:ilvl w:val="0"/>
                <w:numId w:val="0"/>
              </w:numPr>
              <w:spacing w:before="0" w:beforeAutospacing="0" w:after="120" w:afterAutospacing="0"/>
              <w:rPr>
                <w:bCs/>
              </w:rPr>
            </w:pPr>
            <w:r>
              <w:rPr>
                <w:bCs/>
              </w:rPr>
              <w:t>Sec. 1. Controlled substances.</w:t>
            </w:r>
            <w:r>
              <w:rPr>
                <w:b w:val="0"/>
                <w:bCs/>
              </w:rPr>
              <w:t xml:space="preserve"> Amends § 151.212, subd. 2. Requires a pharmacy or practitioner, when dispensing an opiate, to display on the label or container a specific warning about the risk of overdose and addiction.</w:t>
            </w:r>
          </w:p>
        </w:tc>
      </w:tr>
      <w:tr w:rsidR="002A1AC7" w:rsidRPr="0022436D" w:rsidTr="00083B4B">
        <w:trPr>
          <w:jc w:val="center"/>
        </w:trPr>
        <w:tc>
          <w:tcPr>
            <w:tcW w:w="6210" w:type="dxa"/>
            <w:shd w:val="clear" w:color="auto" w:fill="auto"/>
          </w:tcPr>
          <w:p w:rsidR="002A1AC7" w:rsidRPr="0022436D" w:rsidRDefault="002A1AC7" w:rsidP="00C403AB">
            <w:pPr>
              <w:pStyle w:val="Heading1"/>
              <w:keepNext w:val="0"/>
              <w:spacing w:after="120"/>
              <w:rPr>
                <w:sz w:val="24"/>
                <w:szCs w:val="24"/>
              </w:rPr>
            </w:pPr>
          </w:p>
        </w:tc>
        <w:tc>
          <w:tcPr>
            <w:tcW w:w="5760" w:type="dxa"/>
            <w:shd w:val="clear" w:color="auto" w:fill="auto"/>
          </w:tcPr>
          <w:p w:rsidR="002A1AC7" w:rsidRPr="0022436D" w:rsidRDefault="002A1AC7" w:rsidP="00C403AB">
            <w:pPr>
              <w:pStyle w:val="Sectionnumber"/>
              <w:numPr>
                <w:ilvl w:val="0"/>
                <w:numId w:val="0"/>
              </w:numPr>
              <w:spacing w:before="0" w:beforeAutospacing="0" w:after="120" w:afterAutospacing="0"/>
              <w:rPr>
                <w:bCs/>
                <w:szCs w:val="24"/>
              </w:rPr>
            </w:pPr>
          </w:p>
        </w:tc>
        <w:tc>
          <w:tcPr>
            <w:tcW w:w="6102" w:type="dxa"/>
            <w:shd w:val="clear" w:color="auto" w:fill="auto"/>
          </w:tcPr>
          <w:p w:rsidR="002A1AC7" w:rsidRDefault="002A1AC7" w:rsidP="00C403AB">
            <w:pPr>
              <w:pStyle w:val="Sectionnumber"/>
              <w:numPr>
                <w:ilvl w:val="0"/>
                <w:numId w:val="0"/>
              </w:numPr>
              <w:spacing w:before="0" w:beforeAutospacing="0" w:after="120" w:afterAutospacing="0"/>
              <w:rPr>
                <w:b w:val="0"/>
                <w:bCs/>
              </w:rPr>
            </w:pPr>
            <w:r>
              <w:rPr>
                <w:bCs/>
              </w:rPr>
              <w:t>Sec. 2. Limit on quantity of opiates prescribed for acute dental and ophthalmic pain.</w:t>
            </w:r>
            <w:r>
              <w:rPr>
                <w:b w:val="0"/>
                <w:bCs/>
              </w:rPr>
              <w:t xml:space="preserve"> Amends § 152.11, by adding subd. 4. (a) Limits prescriptions for opiate or narcotic pain relievers listed in Schedules II to IV to a four-day supply, when used for treatment of acute dental pain, or acute pain associated with refractive surgery. Requires the quantity prescribed to be consistent with the dosage listed in the professional labeling for the drug.</w:t>
            </w:r>
          </w:p>
          <w:p w:rsidR="002A1AC7" w:rsidRDefault="002A1AC7" w:rsidP="00C403AB">
            <w:pPr>
              <w:pStyle w:val="Sectionnumber"/>
              <w:numPr>
                <w:ilvl w:val="0"/>
                <w:numId w:val="0"/>
              </w:numPr>
              <w:spacing w:before="0" w:beforeAutospacing="0" w:after="120" w:afterAutospacing="0"/>
              <w:rPr>
                <w:b w:val="0"/>
                <w:bCs/>
              </w:rPr>
            </w:pPr>
            <w:r>
              <w:rPr>
                <w:b w:val="0"/>
                <w:bCs/>
              </w:rPr>
              <w:t>(b) Defines “acute pain.”</w:t>
            </w:r>
          </w:p>
          <w:p w:rsidR="002A1AC7" w:rsidRPr="00896F27" w:rsidRDefault="002A1AC7" w:rsidP="00C403AB">
            <w:pPr>
              <w:pStyle w:val="Sectionnumber"/>
              <w:numPr>
                <w:ilvl w:val="0"/>
                <w:numId w:val="0"/>
              </w:numPr>
              <w:spacing w:before="0" w:beforeAutospacing="0" w:after="120" w:afterAutospacing="0"/>
              <w:rPr>
                <w:b w:val="0"/>
                <w:bCs/>
              </w:rPr>
            </w:pPr>
            <w:r>
              <w:rPr>
                <w:b w:val="0"/>
                <w:bCs/>
              </w:rPr>
              <w:t>(c) Allows a practitioner to prescribe more than a four-day supply, based on the practitioner’s professional judgement.</w:t>
            </w:r>
          </w:p>
        </w:tc>
      </w:tr>
      <w:tr w:rsidR="002A1AC7" w:rsidRPr="0022436D" w:rsidTr="00083B4B">
        <w:trPr>
          <w:jc w:val="center"/>
        </w:trPr>
        <w:tc>
          <w:tcPr>
            <w:tcW w:w="6210" w:type="dxa"/>
            <w:shd w:val="clear" w:color="auto" w:fill="auto"/>
          </w:tcPr>
          <w:p w:rsidR="002A1AC7" w:rsidRPr="0022436D" w:rsidRDefault="002A1AC7" w:rsidP="00C403AB">
            <w:pPr>
              <w:pStyle w:val="Heading1"/>
              <w:keepNext w:val="0"/>
              <w:spacing w:after="120"/>
              <w:rPr>
                <w:sz w:val="24"/>
                <w:szCs w:val="24"/>
              </w:rPr>
            </w:pPr>
          </w:p>
        </w:tc>
        <w:tc>
          <w:tcPr>
            <w:tcW w:w="5760" w:type="dxa"/>
            <w:shd w:val="clear" w:color="auto" w:fill="auto"/>
          </w:tcPr>
          <w:p w:rsidR="002A1AC7" w:rsidRPr="0022436D" w:rsidRDefault="002A1AC7" w:rsidP="00C403AB">
            <w:pPr>
              <w:pStyle w:val="Sectionnumber"/>
              <w:numPr>
                <w:ilvl w:val="0"/>
                <w:numId w:val="0"/>
              </w:numPr>
              <w:spacing w:before="0" w:beforeAutospacing="0" w:after="120" w:afterAutospacing="0"/>
              <w:rPr>
                <w:bCs/>
                <w:szCs w:val="24"/>
              </w:rPr>
            </w:pPr>
          </w:p>
        </w:tc>
        <w:tc>
          <w:tcPr>
            <w:tcW w:w="6102" w:type="dxa"/>
            <w:shd w:val="clear" w:color="auto" w:fill="auto"/>
          </w:tcPr>
          <w:p w:rsidR="002A1AC7" w:rsidRDefault="002A1AC7" w:rsidP="00C403AB">
            <w:pPr>
              <w:pStyle w:val="Sectionnumber"/>
              <w:numPr>
                <w:ilvl w:val="0"/>
                <w:numId w:val="0"/>
              </w:numPr>
              <w:spacing w:before="0" w:beforeAutospacing="0" w:after="120" w:afterAutospacing="0"/>
              <w:rPr>
                <w:b w:val="0"/>
                <w:bCs/>
              </w:rPr>
            </w:pPr>
            <w:r>
              <w:rPr>
                <w:bCs/>
              </w:rPr>
              <w:t>Sec. 3. Required disclosures for prescription opioids.</w:t>
            </w:r>
            <w:r>
              <w:rPr>
                <w:b w:val="0"/>
                <w:bCs/>
              </w:rPr>
              <w:t xml:space="preserve"> Adds § 152.121.</w:t>
            </w:r>
          </w:p>
          <w:p w:rsidR="002A1AC7" w:rsidRDefault="002A1AC7" w:rsidP="00C403AB">
            <w:pPr>
              <w:pStyle w:val="Sectionnumber"/>
              <w:numPr>
                <w:ilvl w:val="0"/>
                <w:numId w:val="0"/>
              </w:numPr>
              <w:tabs>
                <w:tab w:val="left" w:pos="965"/>
              </w:tabs>
              <w:spacing w:before="0" w:beforeAutospacing="0" w:after="120" w:afterAutospacing="0"/>
              <w:rPr>
                <w:b w:val="0"/>
              </w:rPr>
            </w:pPr>
            <w:r>
              <w:rPr>
                <w:b w:val="0"/>
              </w:rPr>
              <w:t xml:space="preserve">  </w:t>
            </w:r>
            <w:r>
              <w:t>Subd. 1. Required information.</w:t>
            </w:r>
            <w:r>
              <w:rPr>
                <w:b w:val="0"/>
              </w:rPr>
              <w:t xml:space="preserve"> (a) Requires a dispenser, when dispensing a prescription opioid, to provide a patient, or the patient’s agent or caregiver, clear and conspicuous written information, in plain language, about:</w:t>
            </w:r>
          </w:p>
          <w:p w:rsidR="002A1AC7" w:rsidRDefault="002A1AC7" w:rsidP="00C403AB">
            <w:pPr>
              <w:pStyle w:val="Sectionnumber"/>
              <w:numPr>
                <w:ilvl w:val="0"/>
                <w:numId w:val="0"/>
              </w:numPr>
              <w:tabs>
                <w:tab w:val="left" w:pos="965"/>
              </w:tabs>
              <w:spacing w:before="0" w:beforeAutospacing="0" w:after="120" w:afterAutospacing="0"/>
              <w:rPr>
                <w:b w:val="0"/>
              </w:rPr>
            </w:pPr>
            <w:r>
              <w:rPr>
                <w:b w:val="0"/>
              </w:rPr>
              <w:t>(1) the addictive nature of opioids and risks of opioid abuse; and</w:t>
            </w:r>
          </w:p>
          <w:p w:rsidR="002A1AC7" w:rsidRDefault="002A1AC7" w:rsidP="00C403AB">
            <w:pPr>
              <w:pStyle w:val="Sectionnumber"/>
              <w:numPr>
                <w:ilvl w:val="0"/>
                <w:numId w:val="0"/>
              </w:numPr>
              <w:tabs>
                <w:tab w:val="left" w:pos="965"/>
              </w:tabs>
              <w:spacing w:before="0" w:beforeAutospacing="0" w:after="120" w:afterAutospacing="0"/>
              <w:rPr>
                <w:b w:val="0"/>
              </w:rPr>
            </w:pPr>
            <w:r>
              <w:rPr>
                <w:b w:val="0"/>
              </w:rPr>
              <w:t>(2) safe disposal of unused prescription opioids, that is consistent with the requirements of section 152.105.</w:t>
            </w:r>
          </w:p>
          <w:p w:rsidR="002A1AC7" w:rsidRDefault="002A1AC7" w:rsidP="00C403AB">
            <w:pPr>
              <w:pStyle w:val="Sectionnumber"/>
              <w:numPr>
                <w:ilvl w:val="0"/>
                <w:numId w:val="0"/>
              </w:numPr>
              <w:tabs>
                <w:tab w:val="left" w:pos="965"/>
              </w:tabs>
              <w:spacing w:before="0" w:beforeAutospacing="0" w:after="120" w:afterAutospacing="0"/>
              <w:rPr>
                <w:b w:val="0"/>
              </w:rPr>
            </w:pPr>
            <w:r>
              <w:rPr>
                <w:b w:val="0"/>
              </w:rPr>
              <w:t>(b) Provides a definition of “dispenser.”</w:t>
            </w:r>
          </w:p>
          <w:p w:rsidR="002A1AC7" w:rsidRDefault="002A1AC7" w:rsidP="00C403AB">
            <w:pPr>
              <w:pStyle w:val="Sectionnumber"/>
              <w:numPr>
                <w:ilvl w:val="0"/>
                <w:numId w:val="0"/>
              </w:numPr>
              <w:tabs>
                <w:tab w:val="left" w:pos="965"/>
              </w:tabs>
              <w:spacing w:before="0" w:beforeAutospacing="0" w:after="120" w:afterAutospacing="0"/>
              <w:rPr>
                <w:b w:val="0"/>
              </w:rPr>
            </w:pPr>
            <w:r>
              <w:rPr>
                <w:b w:val="0"/>
              </w:rPr>
              <w:lastRenderedPageBreak/>
              <w:t xml:space="preserve">  </w:t>
            </w:r>
            <w:r>
              <w:t>Subd. 2. Board of Pharmacy development of materials.</w:t>
            </w:r>
            <w:r>
              <w:rPr>
                <w:b w:val="0"/>
              </w:rPr>
              <w:t xml:space="preserve"> Requires the board to develop the text that a dispenser may use to comply with subdivision 1, and to make this available to dispensers by posting it on the board’s Web site, in a format that allows downloading and printing.</w:t>
            </w:r>
          </w:p>
          <w:p w:rsidR="002A1AC7" w:rsidRPr="004B68CA" w:rsidRDefault="002A1AC7" w:rsidP="00C403AB">
            <w:pPr>
              <w:pStyle w:val="Sectionnumber"/>
              <w:numPr>
                <w:ilvl w:val="0"/>
                <w:numId w:val="0"/>
              </w:numPr>
              <w:tabs>
                <w:tab w:val="left" w:pos="965"/>
              </w:tabs>
              <w:spacing w:before="0" w:beforeAutospacing="0" w:after="120" w:afterAutospacing="0"/>
              <w:rPr>
                <w:b w:val="0"/>
              </w:rPr>
            </w:pPr>
            <w:r>
              <w:rPr>
                <w:b w:val="0"/>
              </w:rPr>
              <w:t>Provides a January 1, 2018, effective date.</w:t>
            </w:r>
          </w:p>
        </w:tc>
      </w:tr>
      <w:tr w:rsidR="002A1AC7" w:rsidRPr="0022436D" w:rsidTr="00083B4B">
        <w:trPr>
          <w:jc w:val="center"/>
        </w:trPr>
        <w:tc>
          <w:tcPr>
            <w:tcW w:w="6210" w:type="dxa"/>
            <w:shd w:val="clear" w:color="auto" w:fill="auto"/>
          </w:tcPr>
          <w:p w:rsidR="002A1AC7" w:rsidRPr="0022436D" w:rsidRDefault="002A1AC7" w:rsidP="002A1AC7">
            <w:pPr>
              <w:pStyle w:val="Heading1"/>
              <w:spacing w:after="120"/>
              <w:rPr>
                <w:sz w:val="24"/>
                <w:szCs w:val="24"/>
              </w:rPr>
            </w:pPr>
          </w:p>
        </w:tc>
        <w:tc>
          <w:tcPr>
            <w:tcW w:w="5760" w:type="dxa"/>
            <w:shd w:val="clear" w:color="auto" w:fill="auto"/>
          </w:tcPr>
          <w:p w:rsidR="002A1AC7" w:rsidRPr="0022436D" w:rsidRDefault="002A1AC7" w:rsidP="002A1AC7">
            <w:pPr>
              <w:pStyle w:val="Sectionnumber"/>
              <w:numPr>
                <w:ilvl w:val="0"/>
                <w:numId w:val="0"/>
              </w:numPr>
              <w:spacing w:before="0" w:beforeAutospacing="0" w:after="120" w:afterAutospacing="0"/>
              <w:rPr>
                <w:bCs/>
                <w:szCs w:val="24"/>
              </w:rPr>
            </w:pPr>
          </w:p>
        </w:tc>
        <w:tc>
          <w:tcPr>
            <w:tcW w:w="6102" w:type="dxa"/>
            <w:shd w:val="clear" w:color="auto" w:fill="auto"/>
          </w:tcPr>
          <w:p w:rsidR="00846D38" w:rsidRPr="00846D38" w:rsidRDefault="002A1AC7" w:rsidP="00846D38">
            <w:pPr>
              <w:pStyle w:val="Sectionnumber"/>
              <w:numPr>
                <w:ilvl w:val="0"/>
                <w:numId w:val="0"/>
              </w:numPr>
              <w:spacing w:before="0" w:beforeAutospacing="0" w:after="120" w:afterAutospacing="0"/>
              <w:rPr>
                <w:b w:val="0"/>
              </w:rPr>
            </w:pPr>
            <w:r>
              <w:rPr>
                <w:bCs/>
              </w:rPr>
              <w:t xml:space="preserve">Sec. 4. </w:t>
            </w:r>
            <w:r w:rsidR="00846D38">
              <w:rPr>
                <w:b w:val="0"/>
                <w:bCs/>
              </w:rPr>
              <w:t>is compared in the comparison summary of Senate article 4/House article 1.</w:t>
            </w:r>
          </w:p>
          <w:p w:rsidR="002A1AC7" w:rsidRPr="000C683B" w:rsidRDefault="002A1AC7" w:rsidP="002A1AC7"/>
        </w:tc>
      </w:tr>
      <w:tr w:rsidR="00083B4B" w:rsidRPr="0022436D" w:rsidTr="00083B4B">
        <w:trPr>
          <w:jc w:val="center"/>
        </w:trPr>
        <w:tc>
          <w:tcPr>
            <w:tcW w:w="6210" w:type="dxa"/>
            <w:shd w:val="clear" w:color="auto" w:fill="auto"/>
          </w:tcPr>
          <w:p w:rsidR="00083B4B" w:rsidRPr="0022436D" w:rsidRDefault="00083B4B" w:rsidP="00C403AB">
            <w:pPr>
              <w:pStyle w:val="Heading1"/>
              <w:keepNext w:val="0"/>
              <w:spacing w:after="120"/>
              <w:rPr>
                <w:sz w:val="24"/>
                <w:szCs w:val="24"/>
              </w:rPr>
            </w:pPr>
          </w:p>
        </w:tc>
        <w:tc>
          <w:tcPr>
            <w:tcW w:w="5760" w:type="dxa"/>
            <w:shd w:val="clear" w:color="auto" w:fill="auto"/>
          </w:tcPr>
          <w:p w:rsidR="00083B4B" w:rsidRPr="0022436D" w:rsidRDefault="00083B4B" w:rsidP="00C403AB">
            <w:pPr>
              <w:pStyle w:val="Sectionnumber"/>
              <w:numPr>
                <w:ilvl w:val="0"/>
                <w:numId w:val="0"/>
              </w:numPr>
              <w:spacing w:before="0" w:beforeAutospacing="0" w:after="120" w:afterAutospacing="0"/>
              <w:rPr>
                <w:bCs/>
                <w:szCs w:val="24"/>
              </w:rPr>
            </w:pPr>
          </w:p>
        </w:tc>
        <w:tc>
          <w:tcPr>
            <w:tcW w:w="6102" w:type="dxa"/>
            <w:shd w:val="clear" w:color="auto" w:fill="auto"/>
          </w:tcPr>
          <w:p w:rsidR="00083B4B" w:rsidRPr="00A81BDC" w:rsidRDefault="00A81BDC" w:rsidP="00C403AB">
            <w:pPr>
              <w:pStyle w:val="Sectionnumber"/>
              <w:numPr>
                <w:ilvl w:val="0"/>
                <w:numId w:val="0"/>
              </w:numPr>
              <w:spacing w:before="0" w:beforeAutospacing="0" w:after="120" w:afterAutospacing="0"/>
              <w:rPr>
                <w:b w:val="0"/>
                <w:bCs/>
                <w:szCs w:val="24"/>
              </w:rPr>
            </w:pPr>
            <w:r>
              <w:rPr>
                <w:bCs/>
                <w:szCs w:val="24"/>
              </w:rPr>
              <w:t>Sec.</w:t>
            </w:r>
            <w:r w:rsidRPr="00A81BDC">
              <w:rPr>
                <w:bCs/>
                <w:szCs w:val="24"/>
              </w:rPr>
              <w:t xml:space="preserve"> 5</w:t>
            </w:r>
            <w:r w:rsidRPr="00A81BDC">
              <w:rPr>
                <w:b w:val="0"/>
                <w:bCs/>
                <w:szCs w:val="24"/>
              </w:rPr>
              <w:t xml:space="preserve"> is compared in the comparison summary of Senate article 10/</w:t>
            </w:r>
            <w:r>
              <w:rPr>
                <w:b w:val="0"/>
                <w:bCs/>
                <w:szCs w:val="24"/>
              </w:rPr>
              <w:t>House article 3.</w:t>
            </w:r>
          </w:p>
        </w:tc>
      </w:tr>
      <w:tr w:rsidR="00A81BDC" w:rsidRPr="0022436D" w:rsidTr="003C0FF6">
        <w:trPr>
          <w:cantSplit/>
          <w:jc w:val="center"/>
        </w:trPr>
        <w:tc>
          <w:tcPr>
            <w:tcW w:w="6210" w:type="dxa"/>
            <w:shd w:val="clear" w:color="auto" w:fill="auto"/>
          </w:tcPr>
          <w:p w:rsidR="00A81BDC" w:rsidRPr="0022436D" w:rsidRDefault="00A81BDC" w:rsidP="00A81BDC">
            <w:pPr>
              <w:pStyle w:val="Heading1"/>
              <w:keepNext w:val="0"/>
              <w:spacing w:after="120"/>
              <w:rPr>
                <w:sz w:val="24"/>
                <w:szCs w:val="24"/>
              </w:rPr>
            </w:pPr>
          </w:p>
        </w:tc>
        <w:tc>
          <w:tcPr>
            <w:tcW w:w="5760" w:type="dxa"/>
            <w:shd w:val="clear" w:color="auto" w:fill="auto"/>
          </w:tcPr>
          <w:p w:rsidR="00A81BDC" w:rsidRPr="0022436D" w:rsidRDefault="00A81BDC" w:rsidP="00A81BDC">
            <w:pPr>
              <w:pStyle w:val="Sectionnumber"/>
              <w:numPr>
                <w:ilvl w:val="0"/>
                <w:numId w:val="0"/>
              </w:numPr>
              <w:spacing w:before="0" w:beforeAutospacing="0" w:after="120" w:afterAutospacing="0"/>
              <w:rPr>
                <w:bCs/>
                <w:szCs w:val="24"/>
              </w:rPr>
            </w:pPr>
          </w:p>
        </w:tc>
        <w:tc>
          <w:tcPr>
            <w:tcW w:w="6102" w:type="dxa"/>
            <w:shd w:val="clear" w:color="auto" w:fill="auto"/>
          </w:tcPr>
          <w:p w:rsidR="00A81BDC" w:rsidRDefault="00A81BDC" w:rsidP="00A81BDC">
            <w:pPr>
              <w:pStyle w:val="Sectionnumber"/>
              <w:numPr>
                <w:ilvl w:val="0"/>
                <w:numId w:val="0"/>
              </w:numPr>
              <w:spacing w:before="0" w:beforeAutospacing="0" w:after="120" w:afterAutospacing="0"/>
              <w:rPr>
                <w:b w:val="0"/>
                <w:bCs/>
              </w:rPr>
            </w:pPr>
            <w:r>
              <w:rPr>
                <w:bCs/>
              </w:rPr>
              <w:t>Sec. 6. Report on opioid crisis grant; use of grant funds.</w:t>
            </w:r>
            <w:r>
              <w:rPr>
                <w:b w:val="0"/>
                <w:bCs/>
              </w:rPr>
              <w:t xml:space="preserve"> (a) Requires the commissioner of human services, by October 1, 2017, to report to legislative committees on: (1) funds received as part of federal State Targeted Response to the Opioid Crisis Grants; and (2) uses of the funds received. </w:t>
            </w:r>
          </w:p>
          <w:p w:rsidR="00A81BDC" w:rsidRPr="00FA1DD7" w:rsidRDefault="00A81BDC" w:rsidP="00A81BDC">
            <w:pPr>
              <w:pStyle w:val="Sectionnumber"/>
              <w:numPr>
                <w:ilvl w:val="0"/>
                <w:numId w:val="0"/>
              </w:numPr>
              <w:spacing w:before="0" w:beforeAutospacing="0" w:after="120" w:afterAutospacing="0"/>
              <w:rPr>
                <w:b w:val="0"/>
                <w:bCs/>
              </w:rPr>
            </w:pPr>
            <w:r>
              <w:rPr>
                <w:b w:val="0"/>
                <w:bCs/>
              </w:rPr>
              <w:t>(b) Requires the commissioner to use remaining grant funds, and any additional funds received from other sources, to provide grants to counties for opioid abuse prevention, increase public awareness of opioid abuse, and prevent opioid use through the use of data analytics.</w:t>
            </w:r>
          </w:p>
        </w:tc>
      </w:tr>
      <w:tr w:rsidR="00A81BDC" w:rsidRPr="0022436D" w:rsidTr="00083B4B">
        <w:trPr>
          <w:jc w:val="center"/>
        </w:trPr>
        <w:tc>
          <w:tcPr>
            <w:tcW w:w="6210" w:type="dxa"/>
            <w:shd w:val="clear" w:color="auto" w:fill="auto"/>
          </w:tcPr>
          <w:p w:rsidR="00A81BDC" w:rsidRPr="0022436D" w:rsidRDefault="00A81BDC" w:rsidP="00A81BDC">
            <w:pPr>
              <w:pStyle w:val="Heading1"/>
              <w:keepNext w:val="0"/>
              <w:spacing w:after="120"/>
              <w:rPr>
                <w:sz w:val="24"/>
                <w:szCs w:val="24"/>
              </w:rPr>
            </w:pPr>
          </w:p>
        </w:tc>
        <w:tc>
          <w:tcPr>
            <w:tcW w:w="5760" w:type="dxa"/>
            <w:shd w:val="clear" w:color="auto" w:fill="auto"/>
          </w:tcPr>
          <w:p w:rsidR="00A81BDC" w:rsidRPr="0022436D" w:rsidRDefault="00A81BDC" w:rsidP="00A81BDC">
            <w:pPr>
              <w:pStyle w:val="Sectionnumber"/>
              <w:numPr>
                <w:ilvl w:val="0"/>
                <w:numId w:val="0"/>
              </w:numPr>
              <w:spacing w:before="0" w:beforeAutospacing="0" w:after="120" w:afterAutospacing="0"/>
              <w:rPr>
                <w:bCs/>
                <w:szCs w:val="24"/>
              </w:rPr>
            </w:pPr>
          </w:p>
        </w:tc>
        <w:tc>
          <w:tcPr>
            <w:tcW w:w="6102" w:type="dxa"/>
            <w:shd w:val="clear" w:color="auto" w:fill="auto"/>
          </w:tcPr>
          <w:p w:rsidR="00A81BDC" w:rsidRDefault="00A81BDC" w:rsidP="00A81BDC">
            <w:pPr>
              <w:pStyle w:val="Sectionnumber"/>
              <w:numPr>
                <w:ilvl w:val="0"/>
                <w:numId w:val="0"/>
              </w:numPr>
              <w:spacing w:before="0" w:beforeAutospacing="0" w:after="120" w:afterAutospacing="0"/>
              <w:rPr>
                <w:b w:val="0"/>
                <w:bCs/>
              </w:rPr>
            </w:pPr>
            <w:r>
              <w:rPr>
                <w:bCs/>
              </w:rPr>
              <w:t>Sec. 7. Chronic pain rehabilitation therapy demonstration project.</w:t>
            </w:r>
          </w:p>
          <w:p w:rsidR="00A81BDC" w:rsidRDefault="00A81BDC" w:rsidP="00A81BDC">
            <w:pPr>
              <w:pStyle w:val="Sectionnumber"/>
              <w:numPr>
                <w:ilvl w:val="0"/>
                <w:numId w:val="0"/>
              </w:numPr>
              <w:tabs>
                <w:tab w:val="left" w:pos="965"/>
              </w:tabs>
              <w:spacing w:before="0" w:beforeAutospacing="0" w:after="120" w:afterAutospacing="0"/>
              <w:ind w:left="605" w:hanging="14"/>
              <w:rPr>
                <w:b w:val="0"/>
                <w:bCs/>
              </w:rPr>
            </w:pPr>
            <w:r>
              <w:rPr>
                <w:bCs/>
              </w:rPr>
              <w:t xml:space="preserve">     Subd. 1. Establishment.</w:t>
            </w:r>
            <w:r>
              <w:rPr>
                <w:b w:val="0"/>
                <w:bCs/>
              </w:rPr>
              <w:t xml:space="preserve"> Directs the commissioner to develop and authorize a two-year demonstration project with a rehabilitation institute meeting specified </w:t>
            </w:r>
            <w:r>
              <w:rPr>
                <w:b w:val="0"/>
                <w:bCs/>
              </w:rPr>
              <w:lastRenderedPageBreak/>
              <w:t>criteria for a bundled payment arrangement for chronic pain rehabilitation therapy for MA enrollees. Specifies components of the demonstration project.</w:t>
            </w:r>
          </w:p>
          <w:p w:rsidR="00A81BDC" w:rsidRDefault="00A81BDC" w:rsidP="00A81BDC">
            <w:pPr>
              <w:pStyle w:val="Sectionnumber"/>
              <w:numPr>
                <w:ilvl w:val="0"/>
                <w:numId w:val="0"/>
              </w:numPr>
              <w:tabs>
                <w:tab w:val="left" w:pos="965"/>
              </w:tabs>
              <w:spacing w:before="0" w:beforeAutospacing="0" w:after="120" w:afterAutospacing="0"/>
              <w:ind w:left="605" w:hanging="14"/>
              <w:rPr>
                <w:b w:val="0"/>
                <w:bCs/>
              </w:rPr>
            </w:pPr>
            <w:r>
              <w:rPr>
                <w:bCs/>
              </w:rPr>
              <w:t xml:space="preserve">     Subd. 2. Performance and cost savings indicators.</w:t>
            </w:r>
            <w:r>
              <w:rPr>
                <w:b w:val="0"/>
                <w:bCs/>
              </w:rPr>
              <w:t xml:space="preserve"> Requires the commissioner, in developing the demonstration project, to identify cost savings and performance indicators.</w:t>
            </w:r>
          </w:p>
          <w:p w:rsidR="00A81BDC" w:rsidRDefault="00A81BDC" w:rsidP="00A81BDC">
            <w:pPr>
              <w:pStyle w:val="Sectionnumber"/>
              <w:numPr>
                <w:ilvl w:val="0"/>
                <w:numId w:val="0"/>
              </w:numPr>
              <w:tabs>
                <w:tab w:val="left" w:pos="965"/>
              </w:tabs>
              <w:spacing w:before="0" w:beforeAutospacing="0" w:after="120" w:afterAutospacing="0"/>
              <w:ind w:left="605" w:hanging="14"/>
              <w:rPr>
                <w:b w:val="0"/>
                <w:bCs/>
              </w:rPr>
            </w:pPr>
            <w:r>
              <w:rPr>
                <w:bCs/>
              </w:rPr>
              <w:t xml:space="preserve">     Subd. 3. Eligibility.</w:t>
            </w:r>
            <w:r>
              <w:rPr>
                <w:b w:val="0"/>
                <w:bCs/>
              </w:rPr>
              <w:t xml:space="preserve"> To be eligible, requires individuals to: (1) be 18 or older; (2) be eligible for MA as an individual who is elderly, blind, or has disabilities, is an adult without children, a child age 19 to 20, or an adult formerly in foster care; (3) have moderate to severe pain lasting longer than four months; (4) have an impairment in daily functioning; (5) have a referral from a medical professional indicating that all reasonable medical and surgical options have been exhausted; and (6) be willing to engage in chronic pain rehabilitation therapies.</w:t>
            </w:r>
          </w:p>
          <w:p w:rsidR="00A81BDC" w:rsidRDefault="00A81BDC" w:rsidP="00A81BDC">
            <w:pPr>
              <w:pStyle w:val="Sectionnumber"/>
              <w:numPr>
                <w:ilvl w:val="0"/>
                <w:numId w:val="0"/>
              </w:numPr>
              <w:tabs>
                <w:tab w:val="left" w:pos="965"/>
              </w:tabs>
              <w:spacing w:before="0" w:beforeAutospacing="0" w:after="120" w:afterAutospacing="0"/>
              <w:ind w:left="605" w:hanging="14"/>
              <w:rPr>
                <w:b w:val="0"/>
                <w:bCs/>
              </w:rPr>
            </w:pPr>
            <w:r>
              <w:rPr>
                <w:bCs/>
              </w:rPr>
              <w:t xml:space="preserve">     Subd. 4. Integrated health partnerships.</w:t>
            </w:r>
            <w:r>
              <w:rPr>
                <w:b w:val="0"/>
                <w:bCs/>
              </w:rPr>
              <w:t xml:space="preserve"> States that the demonstration project and participating individuals may be incorporated into the demonstration site’s health care delivery system demonstration.</w:t>
            </w:r>
          </w:p>
          <w:p w:rsidR="00A81BDC" w:rsidRPr="00EF2B4C" w:rsidRDefault="00A81BDC" w:rsidP="00A81BDC">
            <w:pPr>
              <w:pStyle w:val="Sectionnumber"/>
              <w:numPr>
                <w:ilvl w:val="0"/>
                <w:numId w:val="0"/>
              </w:numPr>
              <w:tabs>
                <w:tab w:val="left" w:pos="965"/>
              </w:tabs>
              <w:spacing w:before="0" w:beforeAutospacing="0" w:after="120" w:afterAutospacing="0"/>
              <w:ind w:left="605" w:hanging="14"/>
              <w:rPr>
                <w:b w:val="0"/>
                <w:bCs/>
              </w:rPr>
            </w:pPr>
            <w:r>
              <w:rPr>
                <w:bCs/>
              </w:rPr>
              <w:t xml:space="preserve">     Subd. 5. Report.</w:t>
            </w:r>
            <w:r>
              <w:rPr>
                <w:b w:val="0"/>
                <w:bCs/>
              </w:rPr>
              <w:t xml:space="preserve"> Requires the institute to annually report to the commissioner on cost and savings indicators. Requires the commissioner, three months after completion of the demonstration project, to report to legislative committees on the successes and limitations of the demonstration project and recommendations to increase access to chronic pain rehabilitation therapy.</w:t>
            </w:r>
          </w:p>
        </w:tc>
      </w:tr>
      <w:tr w:rsidR="00A81BDC" w:rsidRPr="0022436D" w:rsidTr="00083B4B">
        <w:trPr>
          <w:jc w:val="center"/>
        </w:trPr>
        <w:tc>
          <w:tcPr>
            <w:tcW w:w="6210" w:type="dxa"/>
            <w:shd w:val="clear" w:color="auto" w:fill="auto"/>
          </w:tcPr>
          <w:p w:rsidR="00A81BDC" w:rsidRPr="0022436D" w:rsidRDefault="00A81BDC" w:rsidP="00A81BDC">
            <w:pPr>
              <w:pStyle w:val="Heading1"/>
              <w:keepNext w:val="0"/>
              <w:spacing w:after="120"/>
              <w:rPr>
                <w:sz w:val="24"/>
                <w:szCs w:val="24"/>
              </w:rPr>
            </w:pPr>
          </w:p>
        </w:tc>
        <w:tc>
          <w:tcPr>
            <w:tcW w:w="5760" w:type="dxa"/>
            <w:shd w:val="clear" w:color="auto" w:fill="auto"/>
          </w:tcPr>
          <w:p w:rsidR="00A81BDC" w:rsidRPr="0022436D" w:rsidRDefault="00A81BDC" w:rsidP="00A81BDC">
            <w:pPr>
              <w:pStyle w:val="Sectionnumber"/>
              <w:numPr>
                <w:ilvl w:val="0"/>
                <w:numId w:val="0"/>
              </w:numPr>
              <w:spacing w:before="0" w:beforeAutospacing="0" w:after="120" w:afterAutospacing="0"/>
              <w:rPr>
                <w:bCs/>
                <w:szCs w:val="24"/>
              </w:rPr>
            </w:pPr>
          </w:p>
        </w:tc>
        <w:tc>
          <w:tcPr>
            <w:tcW w:w="6102" w:type="dxa"/>
            <w:shd w:val="clear" w:color="auto" w:fill="auto"/>
          </w:tcPr>
          <w:p w:rsidR="00A81BDC" w:rsidRPr="006F448E" w:rsidRDefault="00A81BDC" w:rsidP="00A81BDC">
            <w:pPr>
              <w:pStyle w:val="Sectionnumber"/>
              <w:numPr>
                <w:ilvl w:val="0"/>
                <w:numId w:val="0"/>
              </w:numPr>
              <w:tabs>
                <w:tab w:val="left" w:pos="965"/>
              </w:tabs>
              <w:spacing w:before="0" w:beforeAutospacing="0" w:after="120" w:afterAutospacing="0"/>
              <w:ind w:left="14" w:hanging="14"/>
              <w:rPr>
                <w:b w:val="0"/>
                <w:bCs/>
              </w:rPr>
            </w:pPr>
            <w:r>
              <w:t xml:space="preserve">Sec. 8. Substance use disorder provider capacity grant program. </w:t>
            </w:r>
            <w:r w:rsidRPr="000C683B">
              <w:rPr>
                <w:b w:val="0"/>
              </w:rPr>
              <w:t>Requires the commissioner of human services to design and implement a grant program to assist providers to purchase the first dose of a nonnarcotic injectable or implantable medication to treat substance abuse disorder for MA enrollees.</w:t>
            </w:r>
            <w:r>
              <w:rPr>
                <w:b w:val="0"/>
              </w:rPr>
              <w:t xml:space="preserve"> </w:t>
            </w:r>
            <w:r w:rsidRPr="000C683B">
              <w:rPr>
                <w:b w:val="0"/>
              </w:rPr>
              <w:t>Requires grants to be distributed between July 1, 2017</w:t>
            </w:r>
            <w:r>
              <w:rPr>
                <w:b w:val="0"/>
              </w:rPr>
              <w:t>,</w:t>
            </w:r>
            <w:r w:rsidRPr="000C683B">
              <w:rPr>
                <w:b w:val="0"/>
              </w:rPr>
              <w:t xml:space="preserve"> and June 30, 2019.</w:t>
            </w:r>
            <w:r>
              <w:rPr>
                <w:b w:val="0"/>
              </w:rPr>
              <w:t xml:space="preserve"> </w:t>
            </w:r>
            <w:r w:rsidRPr="000C683B">
              <w:rPr>
                <w:b w:val="0"/>
              </w:rPr>
              <w:t>Requires the commissioner to conduct provider outreach, ensure a simplified grant application process, and provide technical assistance to providers.</w:t>
            </w:r>
            <w:r>
              <w:rPr>
                <w:b w:val="0"/>
              </w:rPr>
              <w:t xml:space="preserve"> </w:t>
            </w:r>
            <w:r w:rsidRPr="000C683B">
              <w:rPr>
                <w:b w:val="0"/>
              </w:rPr>
              <w:t>Also requires the commissioner, in collaboration with stakeholders, to analyze the impact of the program and barriers to provider access to, and reimbursement for, the medications, and to develop recommendations to address these barriers.</w:t>
            </w:r>
            <w:r>
              <w:rPr>
                <w:b w:val="0"/>
              </w:rPr>
              <w:t xml:space="preserve"> </w:t>
            </w:r>
            <w:r w:rsidRPr="000C683B">
              <w:rPr>
                <w:b w:val="0"/>
              </w:rPr>
              <w:t>Requires the commissioner to report to specified legislative committees by September 1, 2019.</w:t>
            </w:r>
          </w:p>
        </w:tc>
      </w:tr>
    </w:tbl>
    <w:p w:rsidR="00F417BC" w:rsidRPr="00827C84" w:rsidRDefault="00F417BC" w:rsidP="00EF43DC"/>
    <w:sectPr w:rsidR="00F417BC" w:rsidRPr="00827C84" w:rsidSect="0022436D">
      <w:headerReference w:type="default" r:id="rId8"/>
      <w:pgSz w:w="20160" w:h="12240" w:orient="landscape" w:code="5"/>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566" w:rsidRPr="0022436D" w:rsidRDefault="00766566" w:rsidP="0022436D">
      <w:pPr>
        <w:pStyle w:val="Sectionnumber"/>
        <w:spacing w:before="0" w:after="0"/>
        <w:rPr>
          <w:b w:val="0"/>
        </w:rPr>
      </w:pPr>
      <w:r>
        <w:separator/>
      </w:r>
    </w:p>
  </w:endnote>
  <w:endnote w:type="continuationSeparator" w:id="0">
    <w:p w:rsidR="00766566" w:rsidRPr="0022436D" w:rsidRDefault="00766566" w:rsidP="0022436D">
      <w:pPr>
        <w:pStyle w:val="Sectionnumber"/>
        <w:spacing w:before="0" w:after="0"/>
        <w:rPr>
          <w:b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566" w:rsidRPr="0022436D" w:rsidRDefault="00766566" w:rsidP="0022436D">
      <w:pPr>
        <w:pStyle w:val="Sectionnumber"/>
        <w:spacing w:before="0" w:after="0"/>
        <w:rPr>
          <w:b w:val="0"/>
        </w:rPr>
      </w:pPr>
      <w:r>
        <w:separator/>
      </w:r>
    </w:p>
  </w:footnote>
  <w:footnote w:type="continuationSeparator" w:id="0">
    <w:p w:rsidR="00766566" w:rsidRPr="0022436D" w:rsidRDefault="00766566" w:rsidP="0022436D">
      <w:pPr>
        <w:pStyle w:val="Sectionnumber"/>
        <w:spacing w:before="0" w:after="0"/>
        <w:rPr>
          <w:b w:val="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6D" w:rsidRDefault="0022436D" w:rsidP="00083B4B">
    <w:pPr>
      <w:pStyle w:val="Header"/>
      <w:tabs>
        <w:tab w:val="right" w:pos="18450"/>
      </w:tabs>
      <w:ind w:left="360"/>
      <w:rPr>
        <w:sz w:val="20"/>
      </w:rPr>
    </w:pPr>
    <w:r>
      <w:rPr>
        <w:sz w:val="20"/>
      </w:rPr>
      <w:t xml:space="preserve">Bill Summary Comparison of </w:t>
    </w:r>
    <w:r w:rsidR="00083B4B">
      <w:rPr>
        <w:sz w:val="20"/>
      </w:rPr>
      <w:t>Senate File 800-3/House File UES0800-2</w:t>
    </w:r>
    <w:r>
      <w:rPr>
        <w:sz w:val="20"/>
      </w:rPr>
      <w:tab/>
    </w:r>
    <w:r>
      <w:rPr>
        <w:sz w:val="20"/>
      </w:rPr>
      <w:tab/>
    </w:r>
    <w:r w:rsidR="00083B4B">
      <w:rPr>
        <w:sz w:val="20"/>
      </w:rPr>
      <w:t>April 1</w:t>
    </w:r>
    <w:r w:rsidR="00846D38">
      <w:rPr>
        <w:sz w:val="20"/>
      </w:rPr>
      <w:t>7</w:t>
    </w:r>
    <w:r w:rsidR="00083B4B">
      <w:rPr>
        <w:sz w:val="20"/>
      </w:rPr>
      <w:t>, 2017</w:t>
    </w:r>
  </w:p>
  <w:p w:rsidR="0022436D" w:rsidRDefault="0022436D" w:rsidP="00083B4B">
    <w:pPr>
      <w:pStyle w:val="Header"/>
      <w:tabs>
        <w:tab w:val="clear" w:pos="4680"/>
        <w:tab w:val="left" w:pos="3600"/>
        <w:tab w:val="right" w:pos="18450"/>
      </w:tabs>
      <w:rPr>
        <w:sz w:val="20"/>
      </w:rPr>
    </w:pPr>
    <w:r>
      <w:rPr>
        <w:sz w:val="20"/>
      </w:rPr>
      <w:tab/>
    </w:r>
    <w:r>
      <w:rPr>
        <w:sz w:val="20"/>
      </w:rPr>
      <w:tab/>
    </w:r>
    <w:r>
      <w:rPr>
        <w:sz w:val="20"/>
      </w:rPr>
      <w:tab/>
      <w:t xml:space="preserve">Page </w:t>
    </w:r>
    <w:r w:rsidR="00125680">
      <w:rPr>
        <w:sz w:val="20"/>
      </w:rPr>
      <w:fldChar w:fldCharType="begin"/>
    </w:r>
    <w:r>
      <w:rPr>
        <w:sz w:val="20"/>
      </w:rPr>
      <w:instrText xml:space="preserve"> PAGE  \* Arabic  \* MERGEFORMAT </w:instrText>
    </w:r>
    <w:r w:rsidR="00125680">
      <w:rPr>
        <w:sz w:val="20"/>
      </w:rPr>
      <w:fldChar w:fldCharType="separate"/>
    </w:r>
    <w:r w:rsidR="00A02D9A">
      <w:rPr>
        <w:noProof/>
        <w:sz w:val="20"/>
      </w:rPr>
      <w:t>3</w:t>
    </w:r>
    <w:r w:rsidR="00125680">
      <w:rPr>
        <w:sz w:val="20"/>
      </w:rPr>
      <w:fldChar w:fldCharType="end"/>
    </w:r>
  </w:p>
  <w:p w:rsidR="009C784A" w:rsidRDefault="009C784A" w:rsidP="0022436D">
    <w:pPr>
      <w:pStyle w:val="Header"/>
      <w:tabs>
        <w:tab w:val="clear" w:pos="4680"/>
        <w:tab w:val="left" w:pos="3600"/>
        <w:tab w:val="right" w:pos="18720"/>
      </w:tabs>
      <w:rPr>
        <w:sz w:val="20"/>
      </w:rPr>
    </w:pPr>
  </w:p>
  <w:p w:rsidR="0022436D" w:rsidRPr="0022436D" w:rsidRDefault="0022436D" w:rsidP="00083B4B">
    <w:pPr>
      <w:pStyle w:val="Header"/>
      <w:tabs>
        <w:tab w:val="clear" w:pos="4680"/>
        <w:tab w:val="left" w:pos="3060"/>
        <w:tab w:val="left" w:pos="15030"/>
        <w:tab w:val="right" w:pos="18720"/>
      </w:tabs>
      <w:spacing w:after="120"/>
      <w:rPr>
        <w:szCs w:val="24"/>
      </w:rPr>
    </w:pPr>
    <w:r>
      <w:rPr>
        <w:sz w:val="20"/>
      </w:rPr>
      <w:tab/>
    </w:r>
    <w:r w:rsidRPr="0022436D">
      <w:rPr>
        <w:szCs w:val="24"/>
      </w:rPr>
      <w:t>HOUSE</w:t>
    </w:r>
    <w:r w:rsidRPr="0022436D">
      <w:rPr>
        <w:szCs w:val="24"/>
      </w:rPr>
      <w:tab/>
    </w:r>
    <w:r w:rsidRPr="0022436D">
      <w:rPr>
        <w:szCs w:val="24"/>
      </w:rPr>
      <w:tab/>
    </w:r>
    <w:r>
      <w:rPr>
        <w:szCs w:val="24"/>
      </w:rPr>
      <w:t>SENATE</w:t>
    </w:r>
    <w:r w:rsidRPr="0022436D">
      <w:rPr>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AC6F00"/>
    <w:multiLevelType w:val="hybridMultilevel"/>
    <w:tmpl w:val="2BE2F592"/>
    <w:lvl w:ilvl="0" w:tplc="D0366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66"/>
    <w:rsid w:val="00081FBF"/>
    <w:rsid w:val="00083B4B"/>
    <w:rsid w:val="00125680"/>
    <w:rsid w:val="001C72E0"/>
    <w:rsid w:val="001F5096"/>
    <w:rsid w:val="0022436D"/>
    <w:rsid w:val="002A1AC7"/>
    <w:rsid w:val="002C048E"/>
    <w:rsid w:val="002C486D"/>
    <w:rsid w:val="00367738"/>
    <w:rsid w:val="00373772"/>
    <w:rsid w:val="00382B93"/>
    <w:rsid w:val="003C0FF6"/>
    <w:rsid w:val="003F766C"/>
    <w:rsid w:val="00427695"/>
    <w:rsid w:val="004B4131"/>
    <w:rsid w:val="004F5222"/>
    <w:rsid w:val="00697AE4"/>
    <w:rsid w:val="006E378C"/>
    <w:rsid w:val="0072683D"/>
    <w:rsid w:val="00766566"/>
    <w:rsid w:val="007836EF"/>
    <w:rsid w:val="00787E77"/>
    <w:rsid w:val="007C738B"/>
    <w:rsid w:val="007E120B"/>
    <w:rsid w:val="00803A62"/>
    <w:rsid w:val="00827C84"/>
    <w:rsid w:val="00846D38"/>
    <w:rsid w:val="008C7930"/>
    <w:rsid w:val="008D0C57"/>
    <w:rsid w:val="008D3311"/>
    <w:rsid w:val="00923C58"/>
    <w:rsid w:val="0095325A"/>
    <w:rsid w:val="00965FC5"/>
    <w:rsid w:val="009C784A"/>
    <w:rsid w:val="00A02D9A"/>
    <w:rsid w:val="00A67E95"/>
    <w:rsid w:val="00A81BDC"/>
    <w:rsid w:val="00B23963"/>
    <w:rsid w:val="00B52998"/>
    <w:rsid w:val="00B627D3"/>
    <w:rsid w:val="00BC1665"/>
    <w:rsid w:val="00C403AB"/>
    <w:rsid w:val="00CE1714"/>
    <w:rsid w:val="00D0088B"/>
    <w:rsid w:val="00D2127E"/>
    <w:rsid w:val="00D256C0"/>
    <w:rsid w:val="00D355C2"/>
    <w:rsid w:val="00D421EA"/>
    <w:rsid w:val="00DB2F7E"/>
    <w:rsid w:val="00E128AC"/>
    <w:rsid w:val="00ED0C0E"/>
    <w:rsid w:val="00EF43DC"/>
    <w:rsid w:val="00EF5B38"/>
    <w:rsid w:val="00F24F97"/>
    <w:rsid w:val="00F417BC"/>
    <w:rsid w:val="00F5202C"/>
    <w:rsid w:val="00FB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A08F3-BA34-4340-8D4C-EAC5E974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6D"/>
    <w:pPr>
      <w:spacing w:after="120"/>
    </w:pPr>
    <w:rPr>
      <w:rFonts w:ascii="Times New Roman" w:eastAsia="Times New Roman" w:hAnsi="Times New Roman" w:cs="Times New Roman"/>
      <w:szCs w:val="20"/>
    </w:rPr>
  </w:style>
  <w:style w:type="paragraph" w:styleId="Heading1">
    <w:name w:val="heading 1"/>
    <w:basedOn w:val="Normal"/>
    <w:next w:val="Normal"/>
    <w:link w:val="Heading1Char"/>
    <w:qFormat/>
    <w:rsid w:val="00382B93"/>
    <w:pPr>
      <w:keepNext/>
      <w:spacing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87E77"/>
    <w:pPr>
      <w:keepNext/>
      <w:spacing w:after="240"/>
      <w:outlineLvl w:val="1"/>
    </w:pPr>
    <w:rPr>
      <w:b/>
      <w:sz w:val="28"/>
    </w:rPr>
  </w:style>
  <w:style w:type="paragraph" w:styleId="Heading3">
    <w:name w:val="heading 3"/>
    <w:basedOn w:val="Normal"/>
    <w:next w:val="Normal"/>
    <w:link w:val="Heading3Char"/>
    <w:uiPriority w:val="9"/>
    <w:unhideWhenUsed/>
    <w:qFormat/>
    <w:rsid w:val="00382B93"/>
    <w:pPr>
      <w:keepNext/>
      <w:spacing w:after="240"/>
      <w:outlineLvl w:val="2"/>
    </w:pPr>
    <w:rPr>
      <w:b/>
    </w:rPr>
  </w:style>
  <w:style w:type="paragraph" w:styleId="Heading4">
    <w:name w:val="heading 4"/>
    <w:aliases w:val="footnote"/>
    <w:basedOn w:val="FootnoteText"/>
    <w:next w:val="Normal"/>
    <w:link w:val="Heading4Char"/>
    <w:uiPriority w:val="9"/>
    <w:unhideWhenUsed/>
    <w:qFormat/>
    <w:rsid w:val="00ED0C0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93"/>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787E77"/>
    <w:rPr>
      <w:rFonts w:ascii="Times New Roman" w:hAnsi="Times New Roman" w:cs="Times New Roman"/>
      <w:b/>
      <w:sz w:val="28"/>
    </w:rPr>
  </w:style>
  <w:style w:type="character" w:customStyle="1" w:styleId="Heading3Char">
    <w:name w:val="Heading 3 Char"/>
    <w:basedOn w:val="DefaultParagraphFont"/>
    <w:link w:val="Heading3"/>
    <w:uiPriority w:val="9"/>
    <w:rsid w:val="00382B93"/>
    <w:rPr>
      <w:rFonts w:ascii="Times New Roman" w:hAnsi="Times New Roman"/>
      <w:b/>
    </w:rPr>
  </w:style>
  <w:style w:type="paragraph" w:styleId="FootnoteText">
    <w:name w:val="footnote text"/>
    <w:basedOn w:val="Normal"/>
    <w:link w:val="FootnoteTextChar"/>
    <w:uiPriority w:val="99"/>
    <w:semiHidden/>
    <w:unhideWhenUsed/>
    <w:rsid w:val="007836EF"/>
    <w:pPr>
      <w:ind w:firstLine="432"/>
    </w:pPr>
    <w:rPr>
      <w:sz w:val="20"/>
    </w:rPr>
  </w:style>
  <w:style w:type="character" w:customStyle="1" w:styleId="FootnoteTextChar">
    <w:name w:val="Footnote Text Char"/>
    <w:basedOn w:val="DefaultParagraphFont"/>
    <w:link w:val="FootnoteText"/>
    <w:uiPriority w:val="99"/>
    <w:semiHidden/>
    <w:rsid w:val="007836EF"/>
    <w:rPr>
      <w:rFonts w:ascii="Times New Roman" w:hAnsi="Times New Roman"/>
      <w:sz w:val="20"/>
      <w:szCs w:val="20"/>
    </w:rPr>
  </w:style>
  <w:style w:type="paragraph" w:styleId="EndnoteText">
    <w:name w:val="endnote text"/>
    <w:basedOn w:val="Normal"/>
    <w:link w:val="EndnoteTextChar"/>
    <w:uiPriority w:val="99"/>
    <w:unhideWhenUsed/>
    <w:rsid w:val="007C738B"/>
    <w:rPr>
      <w:sz w:val="20"/>
    </w:rPr>
  </w:style>
  <w:style w:type="character" w:customStyle="1" w:styleId="EndnoteTextChar">
    <w:name w:val="Endnote Text Char"/>
    <w:basedOn w:val="DefaultParagraphFont"/>
    <w:link w:val="EndnoteText"/>
    <w:uiPriority w:val="99"/>
    <w:rsid w:val="007C738B"/>
    <w:rPr>
      <w:rFonts w:ascii="Times New Roman" w:hAnsi="Times New Roman"/>
      <w:sz w:val="20"/>
      <w:szCs w:val="20"/>
    </w:rPr>
  </w:style>
  <w:style w:type="character" w:customStyle="1" w:styleId="Heading4Char">
    <w:name w:val="Heading 4 Char"/>
    <w:aliases w:val="footnote Char"/>
    <w:basedOn w:val="DefaultParagraphFont"/>
    <w:link w:val="Heading4"/>
    <w:uiPriority w:val="9"/>
    <w:rsid w:val="00ED0C0E"/>
  </w:style>
  <w:style w:type="table" w:styleId="TableGrid">
    <w:name w:val="Table Grid"/>
    <w:basedOn w:val="TableNormal"/>
    <w:uiPriority w:val="59"/>
    <w:rsid w:val="002243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number">
    <w:name w:val="Section number"/>
    <w:basedOn w:val="Normal"/>
    <w:rsid w:val="0022436D"/>
    <w:pPr>
      <w:numPr>
        <w:numId w:val="1"/>
      </w:numPr>
      <w:spacing w:before="100" w:beforeAutospacing="1" w:after="100" w:afterAutospacing="1"/>
    </w:pPr>
    <w:rPr>
      <w:b/>
    </w:rPr>
  </w:style>
  <w:style w:type="paragraph" w:styleId="Header">
    <w:name w:val="header"/>
    <w:basedOn w:val="Normal"/>
    <w:link w:val="HeaderChar"/>
    <w:uiPriority w:val="99"/>
    <w:unhideWhenUsed/>
    <w:rsid w:val="0022436D"/>
    <w:pPr>
      <w:tabs>
        <w:tab w:val="center" w:pos="4680"/>
        <w:tab w:val="right" w:pos="9360"/>
      </w:tabs>
      <w:spacing w:after="0"/>
    </w:pPr>
  </w:style>
  <w:style w:type="character" w:customStyle="1" w:styleId="HeaderChar">
    <w:name w:val="Header Char"/>
    <w:basedOn w:val="DefaultParagraphFont"/>
    <w:link w:val="Header"/>
    <w:uiPriority w:val="99"/>
    <w:rsid w:val="0022436D"/>
    <w:rPr>
      <w:rFonts w:ascii="Times New Roman" w:eastAsia="Times New Roman" w:hAnsi="Times New Roman" w:cs="Times New Roman"/>
      <w:szCs w:val="20"/>
    </w:rPr>
  </w:style>
  <w:style w:type="paragraph" w:styleId="Footer">
    <w:name w:val="footer"/>
    <w:basedOn w:val="Normal"/>
    <w:link w:val="FooterChar"/>
    <w:uiPriority w:val="99"/>
    <w:unhideWhenUsed/>
    <w:rsid w:val="0022436D"/>
    <w:pPr>
      <w:tabs>
        <w:tab w:val="center" w:pos="4680"/>
        <w:tab w:val="right" w:pos="9360"/>
      </w:tabs>
      <w:spacing w:after="0"/>
    </w:pPr>
  </w:style>
  <w:style w:type="character" w:customStyle="1" w:styleId="FooterChar">
    <w:name w:val="Footer Char"/>
    <w:basedOn w:val="DefaultParagraphFont"/>
    <w:link w:val="Footer"/>
    <w:uiPriority w:val="99"/>
    <w:rsid w:val="0022436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Master%20BS%20templates\HHS%20side%20by%20s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AD5FAA-88E6-4E87-B7D6-B906AF99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 side by side.dotm</Template>
  <TotalTime>0</TotalTime>
  <Pages>2</Pages>
  <Words>817</Words>
  <Characters>4658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GOPGuest</cp:lastModifiedBy>
  <cp:revision>2</cp:revision>
  <dcterms:created xsi:type="dcterms:W3CDTF">2017-04-18T20:31:00Z</dcterms:created>
  <dcterms:modified xsi:type="dcterms:W3CDTF">2017-04-18T20:31:00Z</dcterms:modified>
</cp:coreProperties>
</file>