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1026C" w14:textId="77777777" w:rsidR="00FD0BA1" w:rsidRPr="00F72227" w:rsidRDefault="00F72227" w:rsidP="00F72227">
      <w:pPr>
        <w:jc w:val="center"/>
        <w:rPr>
          <w:b/>
          <w:i/>
          <w:color w:val="4472C4" w:themeColor="accent1"/>
        </w:rPr>
      </w:pPr>
      <w:r w:rsidRPr="00F72227">
        <w:rPr>
          <w:b/>
          <w:i/>
          <w:color w:val="4472C4" w:themeColor="accent1"/>
        </w:rPr>
        <w:t>The mission of Minnesota Child Care Provider Information Network (MCCPIN) is to support, promote, and strengthen the profession of family child care thereby enriching the lives of providers, children, families, and communities.</w:t>
      </w:r>
    </w:p>
    <w:p w14:paraId="2896EA43" w14:textId="77777777" w:rsidR="00FD0BA1" w:rsidRDefault="00FD0BA1" w:rsidP="00FD0BA1">
      <w:r>
        <w:t>This list is not considered exhaustive as there will likely be other public policy actions brought forth in the session that MCCPIN may</w:t>
      </w:r>
      <w:r w:rsidR="006C2157">
        <w:t xml:space="preserve"> </w:t>
      </w:r>
      <w:r>
        <w:t xml:space="preserve">be asked to </w:t>
      </w:r>
      <w:r w:rsidR="00F72227">
        <w:t xml:space="preserve">take a position of </w:t>
      </w:r>
      <w:r>
        <w:t>support, oppose or neutral.</w:t>
      </w:r>
    </w:p>
    <w:p w14:paraId="517CB409" w14:textId="77777777" w:rsidR="008F2EBB" w:rsidRPr="008F2EBB" w:rsidRDefault="008F2EBB" w:rsidP="008F2EBB">
      <w:pPr>
        <w:pStyle w:val="ListParagraph"/>
        <w:numPr>
          <w:ilvl w:val="0"/>
          <w:numId w:val="5"/>
        </w:numPr>
        <w:rPr>
          <w:b/>
        </w:rPr>
      </w:pPr>
      <w:r w:rsidRPr="008F2EBB">
        <w:rPr>
          <w:b/>
        </w:rPr>
        <w:t>Legislation to establish a timeline for DHS to “open” Rule 2 to combine and streamline Rule 9502 and Chapter 245A under one legislative heading with a clear outline format and clear organization.  This action is to ensure that Family Child Care Providers are able to determine legislative application of the Rule to their licenses with the goal that providers can be in compliance with laws governing Family Child Care Licenses.</w:t>
      </w:r>
    </w:p>
    <w:p w14:paraId="38139ED4" w14:textId="1C53C9BA" w:rsidR="008F2EBB" w:rsidRDefault="008F2EBB" w:rsidP="008F2EBB">
      <w:pPr>
        <w:pStyle w:val="ListParagraph"/>
        <w:rPr>
          <w:b/>
        </w:rPr>
      </w:pPr>
      <w:r w:rsidRPr="008F2EBB">
        <w:rPr>
          <w:b/>
        </w:rPr>
        <w:t>(Similar to 245A.153)</w:t>
      </w:r>
    </w:p>
    <w:p w14:paraId="556E9EDD" w14:textId="0F138C7D" w:rsidR="008F2EBB" w:rsidRDefault="008F2EBB" w:rsidP="008F2EBB">
      <w:pPr>
        <w:pStyle w:val="ListParagraph"/>
        <w:rPr>
          <w:b/>
        </w:rPr>
      </w:pPr>
    </w:p>
    <w:p w14:paraId="22DF7F1D" w14:textId="77777777" w:rsidR="008F2EBB" w:rsidRPr="002D3D3A" w:rsidRDefault="008F2EBB" w:rsidP="008F2EBB">
      <w:pPr>
        <w:pStyle w:val="ListParagraph"/>
        <w:numPr>
          <w:ilvl w:val="0"/>
          <w:numId w:val="5"/>
        </w:numPr>
        <w:rPr>
          <w:b/>
        </w:rPr>
      </w:pPr>
      <w:r w:rsidRPr="002D3D3A">
        <w:rPr>
          <w:b/>
        </w:rPr>
        <w:t>Administrative Law Judge’s ruling to be final, rather than a recommendation to DHS.</w:t>
      </w:r>
    </w:p>
    <w:p w14:paraId="731C323B" w14:textId="77777777" w:rsidR="008F2EBB" w:rsidRDefault="008F2EBB" w:rsidP="008F2EBB">
      <w:pPr>
        <w:pStyle w:val="ListParagraph"/>
        <w:rPr>
          <w:b/>
        </w:rPr>
      </w:pPr>
      <w:r>
        <w:rPr>
          <w:b/>
        </w:rPr>
        <w:t>HF1298 Introduced in 2016 &amp; 2017, sitting in the Government Operations Committee.</w:t>
      </w:r>
    </w:p>
    <w:p w14:paraId="1BBFF234" w14:textId="77777777" w:rsidR="008F2EBB" w:rsidRDefault="008F2EBB" w:rsidP="008F2EBB">
      <w:pPr>
        <w:pStyle w:val="ListParagraph"/>
        <w:rPr>
          <w:b/>
        </w:rPr>
      </w:pPr>
    </w:p>
    <w:p w14:paraId="2DBB769B" w14:textId="77777777" w:rsidR="008F2EBB" w:rsidRDefault="008F2EBB" w:rsidP="008F2EBB">
      <w:pPr>
        <w:pStyle w:val="ListParagraph"/>
        <w:rPr>
          <w:b/>
        </w:rPr>
      </w:pPr>
      <w:r w:rsidRPr="002D3D3A">
        <w:rPr>
          <w:b/>
        </w:rPr>
        <w:t xml:space="preserve">245A.08 </w:t>
      </w:r>
      <w:proofErr w:type="spellStart"/>
      <w:r w:rsidRPr="002D3D3A">
        <w:rPr>
          <w:b/>
        </w:rPr>
        <w:t>Subd</w:t>
      </w:r>
      <w:proofErr w:type="spellEnd"/>
      <w:r w:rsidRPr="002D3D3A">
        <w:rPr>
          <w:b/>
        </w:rPr>
        <w:t>. 4.  Ruling Recommendation of administrative law judge. The administrative law judge shall rule recommend whether or not the commissioner's order should be affirmed. The ruling recommendations must be consistent with this chapter and the rules of the commissioner. The ruling recommendations must be in writing and accompanied by findings of fact and conclusions and must be mailed to the parties by certified mail to their last known addresses as shown on the license or application.</w:t>
      </w:r>
    </w:p>
    <w:p w14:paraId="7C015B24" w14:textId="77777777" w:rsidR="008F2EBB" w:rsidRPr="008F2EBB" w:rsidRDefault="008F2EBB" w:rsidP="008F2EBB">
      <w:pPr>
        <w:pStyle w:val="ListParagraph"/>
        <w:rPr>
          <w:b/>
        </w:rPr>
      </w:pPr>
    </w:p>
    <w:p w14:paraId="40A5DE16" w14:textId="7F33A86C" w:rsidR="00FD0BA1" w:rsidRPr="00061C4F" w:rsidRDefault="00D72217" w:rsidP="00D72217">
      <w:pPr>
        <w:pStyle w:val="ListParagraph"/>
        <w:numPr>
          <w:ilvl w:val="0"/>
          <w:numId w:val="5"/>
        </w:numPr>
        <w:rPr>
          <w:b/>
        </w:rPr>
      </w:pPr>
      <w:bookmarkStart w:id="0" w:name="_GoBack"/>
      <w:bookmarkEnd w:id="0"/>
      <w:r w:rsidRPr="00061C4F">
        <w:rPr>
          <w:b/>
        </w:rPr>
        <w:t xml:space="preserve">MCCPIN supports and promotes the legislative process to examine and modify the </w:t>
      </w:r>
      <w:r w:rsidR="006C2157" w:rsidRPr="00061C4F">
        <w:rPr>
          <w:b/>
        </w:rPr>
        <w:t xml:space="preserve">NETStudy </w:t>
      </w:r>
      <w:r w:rsidRPr="00061C4F">
        <w:rPr>
          <w:b/>
        </w:rPr>
        <w:t>2</w:t>
      </w:r>
      <w:r w:rsidR="006C2157" w:rsidRPr="00061C4F">
        <w:rPr>
          <w:b/>
        </w:rPr>
        <w:t>.0</w:t>
      </w:r>
      <w:r w:rsidRPr="00061C4F">
        <w:rPr>
          <w:b/>
        </w:rPr>
        <w:t xml:space="preserve"> background check of </w:t>
      </w:r>
      <w:r w:rsidR="006C2157" w:rsidRPr="00061C4F">
        <w:rPr>
          <w:b/>
        </w:rPr>
        <w:t>mi</w:t>
      </w:r>
      <w:r w:rsidRPr="00061C4F">
        <w:rPr>
          <w:b/>
        </w:rPr>
        <w:t xml:space="preserve">nors in Family Child Care Providers homes.  </w:t>
      </w:r>
    </w:p>
    <w:p w14:paraId="3645D25A" w14:textId="77777777" w:rsidR="00D54749" w:rsidRPr="0026237A" w:rsidRDefault="00A80A80" w:rsidP="00D54749">
      <w:pPr>
        <w:pStyle w:val="ListParagraph"/>
      </w:pPr>
      <w:r w:rsidRPr="0026237A">
        <w:t>(NETStudy 2.0 is the finger print system that DHS utilizes.)</w:t>
      </w:r>
    </w:p>
    <w:p w14:paraId="2FA390CD" w14:textId="77777777" w:rsidR="00A80A80" w:rsidRPr="0026237A" w:rsidRDefault="00A80A80" w:rsidP="00D54749">
      <w:pPr>
        <w:pStyle w:val="ListParagraph"/>
      </w:pPr>
    </w:p>
    <w:p w14:paraId="30F6D49A" w14:textId="77777777" w:rsidR="00061C4F" w:rsidRPr="00061C4F" w:rsidRDefault="00A83B86" w:rsidP="00061C4F">
      <w:pPr>
        <w:pStyle w:val="ListParagraph"/>
        <w:numPr>
          <w:ilvl w:val="0"/>
          <w:numId w:val="5"/>
        </w:numPr>
        <w:rPr>
          <w:b/>
        </w:rPr>
      </w:pPr>
      <w:r w:rsidRPr="00061C4F">
        <w:rPr>
          <w:b/>
        </w:rPr>
        <w:t xml:space="preserve">MCCPIN proposes that there be a </w:t>
      </w:r>
      <w:r w:rsidR="006C2157" w:rsidRPr="00061C4F">
        <w:rPr>
          <w:b/>
        </w:rPr>
        <w:t>cap</w:t>
      </w:r>
      <w:r w:rsidR="00416679" w:rsidRPr="00061C4F">
        <w:rPr>
          <w:b/>
        </w:rPr>
        <w:t xml:space="preserve"> or payment process</w:t>
      </w:r>
      <w:r w:rsidR="00051EF5" w:rsidRPr="00061C4F">
        <w:rPr>
          <w:b/>
        </w:rPr>
        <w:t xml:space="preserve"> on fees for </w:t>
      </w:r>
      <w:r w:rsidR="000F2105" w:rsidRPr="00061C4F">
        <w:rPr>
          <w:b/>
        </w:rPr>
        <w:t xml:space="preserve">background studies with NETStudy 2.0 </w:t>
      </w:r>
      <w:r w:rsidRPr="00061C4F">
        <w:rPr>
          <w:b/>
        </w:rPr>
        <w:t>to bring relief for Family Child Care Providers</w:t>
      </w:r>
      <w:r w:rsidR="000F36B6" w:rsidRPr="00061C4F">
        <w:rPr>
          <w:b/>
        </w:rPr>
        <w:t xml:space="preserve">. </w:t>
      </w:r>
      <w:r w:rsidR="00061C4F">
        <w:rPr>
          <w:b/>
        </w:rPr>
        <w:t xml:space="preserve">  This would include a</w:t>
      </w:r>
      <w:r w:rsidR="000F36B6" w:rsidRPr="0026237A">
        <w:t xml:space="preserve"> </w:t>
      </w:r>
      <w:r w:rsidR="00061C4F" w:rsidRPr="00061C4F">
        <w:rPr>
          <w:b/>
        </w:rPr>
        <w:t xml:space="preserve">system </w:t>
      </w:r>
      <w:r w:rsidR="00061C4F">
        <w:rPr>
          <w:b/>
        </w:rPr>
        <w:t>which</w:t>
      </w:r>
      <w:r w:rsidR="00061C4F" w:rsidRPr="00061C4F">
        <w:rPr>
          <w:b/>
        </w:rPr>
        <w:t xml:space="preserve"> would </w:t>
      </w:r>
      <w:r w:rsidR="000F36B6" w:rsidRPr="00061C4F">
        <w:rPr>
          <w:b/>
        </w:rPr>
        <w:t xml:space="preserve">ensure that Family Child Care Providers who also provide </w:t>
      </w:r>
      <w:r w:rsidR="00562FA7">
        <w:rPr>
          <w:b/>
        </w:rPr>
        <w:t>a</w:t>
      </w:r>
      <w:r w:rsidR="000F36B6" w:rsidRPr="00061C4F">
        <w:rPr>
          <w:b/>
        </w:rPr>
        <w:t>dult and/or child</w:t>
      </w:r>
      <w:r w:rsidR="00562FA7">
        <w:rPr>
          <w:b/>
        </w:rPr>
        <w:t xml:space="preserve"> f</w:t>
      </w:r>
      <w:r w:rsidR="000F36B6" w:rsidRPr="00061C4F">
        <w:rPr>
          <w:b/>
        </w:rPr>
        <w:t xml:space="preserve">oster </w:t>
      </w:r>
      <w:r w:rsidR="00562FA7">
        <w:rPr>
          <w:b/>
        </w:rPr>
        <w:t>ca</w:t>
      </w:r>
      <w:r w:rsidR="000F36B6" w:rsidRPr="00061C4F">
        <w:rPr>
          <w:b/>
        </w:rPr>
        <w:t xml:space="preserve">re </w:t>
      </w:r>
      <w:r w:rsidR="00061C4F">
        <w:rPr>
          <w:b/>
        </w:rPr>
        <w:t xml:space="preserve">and </w:t>
      </w:r>
      <w:r w:rsidR="000F36B6" w:rsidRPr="00061C4F">
        <w:rPr>
          <w:b/>
        </w:rPr>
        <w:t xml:space="preserve">who are </w:t>
      </w:r>
      <w:r w:rsidR="000F2105" w:rsidRPr="00061C4F">
        <w:rPr>
          <w:b/>
        </w:rPr>
        <w:t>required to have background studies with NETStudy 2.0 be streamlined so to ensure a combined fee system rather than a fee for each licensing category.</w:t>
      </w:r>
    </w:p>
    <w:p w14:paraId="0846E068" w14:textId="77777777" w:rsidR="00051EF5" w:rsidRDefault="00A80A80" w:rsidP="00061C4F">
      <w:pPr>
        <w:pStyle w:val="ListParagraph"/>
      </w:pPr>
      <w:r w:rsidRPr="00A80A80">
        <w:t>(NETStudy 2.0 is the finger print system that DHS utilizes.)</w:t>
      </w:r>
    </w:p>
    <w:p w14:paraId="20F440AF" w14:textId="77777777" w:rsidR="002D3D3A" w:rsidRDefault="002D3D3A">
      <w:pPr>
        <w:rPr>
          <w:b/>
        </w:rPr>
      </w:pPr>
      <w:r>
        <w:rPr>
          <w:b/>
        </w:rPr>
        <w:br w:type="page"/>
      </w:r>
    </w:p>
    <w:p w14:paraId="1830D20F" w14:textId="77777777" w:rsidR="0026237A" w:rsidRDefault="00B6190D" w:rsidP="00B6190D">
      <w:pPr>
        <w:pStyle w:val="ListParagraph"/>
        <w:numPr>
          <w:ilvl w:val="0"/>
          <w:numId w:val="5"/>
        </w:numPr>
      </w:pPr>
      <w:r w:rsidRPr="00061C4F">
        <w:rPr>
          <w:b/>
        </w:rPr>
        <w:lastRenderedPageBreak/>
        <w:t>MCCPIN will w</w:t>
      </w:r>
      <w:r w:rsidR="002A5418" w:rsidRPr="00061C4F">
        <w:rPr>
          <w:b/>
        </w:rPr>
        <w:t xml:space="preserve">ork towards a modification in the </w:t>
      </w:r>
      <w:r w:rsidR="00051EF5" w:rsidRPr="00061C4F">
        <w:rPr>
          <w:b/>
        </w:rPr>
        <w:t xml:space="preserve">definition </w:t>
      </w:r>
      <w:r w:rsidR="002A5418" w:rsidRPr="00061C4F">
        <w:rPr>
          <w:b/>
        </w:rPr>
        <w:t xml:space="preserve">of swaddle products </w:t>
      </w:r>
      <w:r w:rsidR="00A83B86" w:rsidRPr="00061C4F">
        <w:rPr>
          <w:b/>
        </w:rPr>
        <w:t xml:space="preserve">to include all sleep products </w:t>
      </w:r>
      <w:r w:rsidR="002A5418" w:rsidRPr="00061C4F">
        <w:rPr>
          <w:b/>
        </w:rPr>
        <w:t>available on the market</w:t>
      </w:r>
      <w:r w:rsidR="00A2252B">
        <w:rPr>
          <w:b/>
        </w:rPr>
        <w:t>, not under recall or warning from CPSC.org</w:t>
      </w:r>
      <w:r w:rsidRPr="00061C4F">
        <w:rPr>
          <w:b/>
        </w:rPr>
        <w:t>.</w:t>
      </w:r>
      <w:r w:rsidRPr="005F1BB3">
        <w:t xml:space="preserve"> Since implementation of safe-sleep standards in 2013 there have been many products developed and available for parents/providers to use in the sleep environment of infants and no update or direction from DHS to all providers regarding new option.  </w:t>
      </w:r>
    </w:p>
    <w:p w14:paraId="23F74D7C" w14:textId="77777777" w:rsidR="00061C4F" w:rsidRDefault="00061C4F" w:rsidP="00061C4F">
      <w:pPr>
        <w:pStyle w:val="ListParagraph"/>
      </w:pPr>
    </w:p>
    <w:p w14:paraId="61646530" w14:textId="77777777" w:rsidR="00B6190D" w:rsidRPr="0026237A" w:rsidRDefault="0026237A" w:rsidP="0026237A">
      <w:pPr>
        <w:pStyle w:val="ListParagraph"/>
        <w:rPr>
          <w:i/>
        </w:rPr>
      </w:pPr>
      <w:r w:rsidRPr="0026237A">
        <w:rPr>
          <w:i/>
        </w:rPr>
        <w:t>245A.1435</w:t>
      </w:r>
      <w:r>
        <w:rPr>
          <w:i/>
        </w:rPr>
        <w:t xml:space="preserve"> (d) </w:t>
      </w:r>
      <w:r w:rsidRPr="0026237A">
        <w:rPr>
          <w:i/>
        </w:rPr>
        <w:t xml:space="preserve">Placing a swaddled infant down to sleep in a licensed setting is not recommended for an infant of any age and is prohibited for any infant who has begun to roll over independently. However, with the written consent of a parent or guardian according to this paragraph, a license holder may place the infant who has not yet begun to roll over on its own down to sleep </w:t>
      </w:r>
      <w:r w:rsidRPr="0026237A">
        <w:rPr>
          <w:b/>
          <w:i/>
        </w:rPr>
        <w:t>in a sleep system</w:t>
      </w:r>
      <w:r>
        <w:rPr>
          <w:i/>
        </w:rPr>
        <w:t xml:space="preserve"> </w:t>
      </w:r>
      <w:r w:rsidRPr="0026237A">
        <w:rPr>
          <w:i/>
          <w:strike/>
        </w:rPr>
        <w:t xml:space="preserve">a one-piece sleeper equipped with an attached system that fastens securely only across the upper torso, </w:t>
      </w:r>
      <w:r w:rsidRPr="0026237A">
        <w:rPr>
          <w:i/>
        </w:rPr>
        <w:t>with no constriction of the hips or legs, to create a swaddle</w:t>
      </w:r>
      <w:r w:rsidR="00A2252B">
        <w:rPr>
          <w:i/>
        </w:rPr>
        <w:t xml:space="preserve"> </w:t>
      </w:r>
      <w:r w:rsidR="00A2252B">
        <w:rPr>
          <w:b/>
          <w:i/>
        </w:rPr>
        <w:t xml:space="preserve">which is not under recall or warning from CPSC.org.  </w:t>
      </w:r>
      <w:r w:rsidRPr="0026237A">
        <w:rPr>
          <w:i/>
        </w:rPr>
        <w:t xml:space="preserve"> </w:t>
      </w:r>
      <w:r w:rsidRPr="0026237A">
        <w:rPr>
          <w:b/>
          <w:i/>
        </w:rPr>
        <w:t xml:space="preserve">The use of a blanket in any fashion of swaddling or covering is prohibited.  </w:t>
      </w:r>
      <w:r w:rsidRPr="0026237A">
        <w:rPr>
          <w:i/>
        </w:rPr>
        <w:t>Prior to any use of swaddling for sleep by a provider licensed under this chapter, the license holder must obtain informed written consent for the use of swaddling from the parent or guardian of the infant on a form provided by the commissioner and prepared in partnership with the Minnesota Sudden Infant Death</w:t>
      </w:r>
      <w:r w:rsidRPr="0026237A">
        <w:t xml:space="preserve"> </w:t>
      </w:r>
      <w:r w:rsidRPr="0026237A">
        <w:rPr>
          <w:i/>
        </w:rPr>
        <w:t>Center.</w:t>
      </w:r>
      <w:r w:rsidR="00B6190D" w:rsidRPr="0026237A">
        <w:rPr>
          <w:i/>
        </w:rPr>
        <w:t xml:space="preserve"> </w:t>
      </w:r>
      <w:r w:rsidR="002A5418" w:rsidRPr="0026237A">
        <w:rPr>
          <w:i/>
        </w:rPr>
        <w:t xml:space="preserve"> </w:t>
      </w:r>
    </w:p>
    <w:p w14:paraId="7FCDD8AF" w14:textId="77777777" w:rsidR="00B6190D" w:rsidRDefault="00B6190D" w:rsidP="00B6190D"/>
    <w:p w14:paraId="16FEA1AB" w14:textId="77777777" w:rsidR="006D0B94" w:rsidRDefault="008D6035" w:rsidP="00B6190D">
      <w:r>
        <w:t>Additional Topics MCCPIN support</w:t>
      </w:r>
      <w:r w:rsidR="00CC1A2A">
        <w:t>s</w:t>
      </w:r>
      <w:r>
        <w:t>:</w:t>
      </w:r>
      <w:r w:rsidR="00264395">
        <w:t xml:space="preserve"> </w:t>
      </w:r>
    </w:p>
    <w:p w14:paraId="418CECC5" w14:textId="77777777" w:rsidR="00264395" w:rsidRPr="00A13435" w:rsidRDefault="00264395" w:rsidP="006D0B94">
      <w:pPr>
        <w:rPr>
          <w:b/>
          <w:i/>
        </w:rPr>
      </w:pPr>
      <w:r w:rsidRPr="00A13435">
        <w:rPr>
          <w:b/>
          <w:i/>
        </w:rPr>
        <w:t>Support a Mixed Delivery Early Childhood System, oppose the Voluntary Pre-Kindergarten (VPK) language to ensure community based-programs including Family Child Care be allocated money and a workable application process to be included.</w:t>
      </w:r>
    </w:p>
    <w:p w14:paraId="56641EA0" w14:textId="77777777" w:rsidR="00A13435" w:rsidRPr="00096AE0" w:rsidRDefault="00B13D81">
      <w:pPr>
        <w:rPr>
          <w:b/>
          <w:i/>
        </w:rPr>
      </w:pPr>
      <w:r w:rsidRPr="006D0B94">
        <w:rPr>
          <w:b/>
          <w:i/>
        </w:rPr>
        <w:t xml:space="preserve">MCCPIN will partner with Rule 3 state association, MCCA, to </w:t>
      </w:r>
      <w:r w:rsidR="00264395" w:rsidRPr="006D0B94">
        <w:rPr>
          <w:b/>
          <w:i/>
        </w:rPr>
        <w:t xml:space="preserve">Exempt Rule 2 </w:t>
      </w:r>
      <w:r w:rsidRPr="006D0B94">
        <w:rPr>
          <w:b/>
          <w:i/>
        </w:rPr>
        <w:t xml:space="preserve">&amp; Rule 3 programs </w:t>
      </w:r>
      <w:r w:rsidR="00264395" w:rsidRPr="006D0B94">
        <w:rPr>
          <w:b/>
          <w:i/>
        </w:rPr>
        <w:t>from the Positive Supports Rul</w:t>
      </w:r>
      <w:r w:rsidRPr="006D0B94">
        <w:rPr>
          <w:b/>
          <w:i/>
        </w:rPr>
        <w:t>e.</w:t>
      </w:r>
    </w:p>
    <w:sectPr w:rsidR="00A13435" w:rsidRPr="00096AE0" w:rsidSect="00F72227">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6D2B4" w14:textId="77777777" w:rsidR="00A21E41" w:rsidRDefault="00A21E41" w:rsidP="00191A78">
      <w:pPr>
        <w:spacing w:after="0" w:line="240" w:lineRule="auto"/>
      </w:pPr>
      <w:r>
        <w:separator/>
      </w:r>
    </w:p>
  </w:endnote>
  <w:endnote w:type="continuationSeparator" w:id="0">
    <w:p w14:paraId="209A2DEA" w14:textId="77777777" w:rsidR="00A21E41" w:rsidRDefault="00A21E41" w:rsidP="0019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63AAC" w14:textId="77777777" w:rsidR="008A16EB" w:rsidRDefault="008A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48869"/>
      <w:docPartObj>
        <w:docPartGallery w:val="Page Numbers (Bottom of Page)"/>
        <w:docPartUnique/>
      </w:docPartObj>
    </w:sdtPr>
    <w:sdtEndPr>
      <w:rPr>
        <w:color w:val="7F7F7F" w:themeColor="background1" w:themeShade="7F"/>
        <w:spacing w:val="60"/>
      </w:rPr>
    </w:sdtEndPr>
    <w:sdtContent>
      <w:p w14:paraId="1B210C4B" w14:textId="4A32C820" w:rsidR="008D7B4B" w:rsidRDefault="008D7B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2EBB" w:rsidRPr="008F2EBB">
          <w:rPr>
            <w:b/>
            <w:bCs/>
            <w:noProof/>
          </w:rPr>
          <w:t>2</w:t>
        </w:r>
        <w:r>
          <w:rPr>
            <w:b/>
            <w:bCs/>
            <w:noProof/>
          </w:rPr>
          <w:fldChar w:fldCharType="end"/>
        </w:r>
        <w:r>
          <w:rPr>
            <w:b/>
            <w:bCs/>
          </w:rPr>
          <w:t xml:space="preserve"> | </w:t>
        </w:r>
        <w:r>
          <w:rPr>
            <w:color w:val="7F7F7F" w:themeColor="background1" w:themeShade="7F"/>
            <w:spacing w:val="60"/>
          </w:rPr>
          <w:t xml:space="preserve">Page </w:t>
        </w:r>
        <w:r w:rsidRPr="008D7B4B">
          <w:rPr>
            <w:color w:val="7F7F7F" w:themeColor="background1" w:themeShade="7F"/>
            <w:spacing w:val="60"/>
          </w:rPr>
          <w:t>MCCPIN</w:t>
        </w:r>
        <w:r>
          <w:rPr>
            <w:color w:val="7F7F7F" w:themeColor="background1" w:themeShade="7F"/>
            <w:spacing w:val="60"/>
          </w:rPr>
          <w:t>.org</w:t>
        </w:r>
        <w:r>
          <w:rPr>
            <w:color w:val="7F7F7F" w:themeColor="background1" w:themeShade="7F"/>
            <w:spacing w:val="60"/>
          </w:rPr>
          <w:tab/>
        </w:r>
        <w:r w:rsidR="00543A3A">
          <w:rPr>
            <w:color w:val="7F7F7F" w:themeColor="background1" w:themeShade="7F"/>
            <w:spacing w:val="60"/>
          </w:rPr>
          <w:t xml:space="preserve">  </w:t>
        </w:r>
        <w:r w:rsidRPr="008D7B4B">
          <w:rPr>
            <w:color w:val="7F7F7F" w:themeColor="background1" w:themeShade="7F"/>
            <w:spacing w:val="60"/>
          </w:rPr>
          <w:t xml:space="preserve">January 20, 2018 </w:t>
        </w:r>
        <w:r w:rsidR="008A16EB">
          <w:rPr>
            <w:color w:val="7F7F7F" w:themeColor="background1" w:themeShade="7F"/>
            <w:spacing w:val="60"/>
          </w:rPr>
          <w:t xml:space="preserve"> </w:t>
        </w:r>
        <w:r w:rsidR="00543A3A">
          <w:rPr>
            <w:color w:val="7F7F7F" w:themeColor="background1" w:themeShade="7F"/>
            <w:spacing w:val="60"/>
          </w:rPr>
          <w:t xml:space="preserve">            </w:t>
        </w:r>
        <w:r w:rsidR="008A16EB">
          <w:rPr>
            <w:color w:val="7F7F7F" w:themeColor="background1" w:themeShade="7F"/>
            <w:spacing w:val="60"/>
          </w:rPr>
          <w:t xml:space="preserve"> Update: 2/2/18</w:t>
        </w:r>
      </w:p>
    </w:sdtContent>
  </w:sdt>
  <w:p w14:paraId="5DE146F3" w14:textId="77777777" w:rsidR="00191A78" w:rsidRPr="008D7B4B" w:rsidRDefault="00191A78" w:rsidP="008D7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37A0" w14:textId="77777777" w:rsidR="008A16EB" w:rsidRDefault="008A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636E" w14:textId="77777777" w:rsidR="00A21E41" w:rsidRDefault="00A21E41" w:rsidP="00191A78">
      <w:pPr>
        <w:spacing w:after="0" w:line="240" w:lineRule="auto"/>
      </w:pPr>
      <w:r>
        <w:separator/>
      </w:r>
    </w:p>
  </w:footnote>
  <w:footnote w:type="continuationSeparator" w:id="0">
    <w:p w14:paraId="1F15497E" w14:textId="77777777" w:rsidR="00A21E41" w:rsidRDefault="00A21E41" w:rsidP="0019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9707" w14:textId="77777777" w:rsidR="008A16EB" w:rsidRDefault="008A1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51F1A" w14:textId="77777777" w:rsidR="00191A78" w:rsidRPr="008D7B4B" w:rsidRDefault="008D7B4B" w:rsidP="008D7B4B">
    <w:pPr>
      <w:pStyle w:val="IntenseQuote"/>
      <w:rPr>
        <w:sz w:val="48"/>
        <w:szCs w:val="48"/>
      </w:rPr>
    </w:pPr>
    <w:r>
      <w:rPr>
        <w:noProof/>
      </w:rPr>
      <w:drawing>
        <wp:inline distT="0" distB="0" distL="0" distR="0" wp14:anchorId="1A0B239A" wp14:editId="38619952">
          <wp:extent cx="900642"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CPIN Logo.png"/>
                  <pic:cNvPicPr/>
                </pic:nvPicPr>
                <pic:blipFill>
                  <a:blip r:embed="rId1">
                    <a:extLst>
                      <a:ext uri="{28A0092B-C50C-407E-A947-70E740481C1C}">
                        <a14:useLocalDpi xmlns:a14="http://schemas.microsoft.com/office/drawing/2010/main" val="0"/>
                      </a:ext>
                    </a:extLst>
                  </a:blip>
                  <a:stretch>
                    <a:fillRect/>
                  </a:stretch>
                </pic:blipFill>
                <pic:spPr>
                  <a:xfrm>
                    <a:off x="0" y="0"/>
                    <a:ext cx="908618" cy="711092"/>
                  </a:xfrm>
                  <a:prstGeom prst="rect">
                    <a:avLst/>
                  </a:prstGeom>
                </pic:spPr>
              </pic:pic>
            </a:graphicData>
          </a:graphic>
        </wp:inline>
      </w:drawing>
    </w:r>
    <w:r w:rsidRPr="008D7B4B">
      <w:rPr>
        <w:sz w:val="48"/>
        <w:szCs w:val="48"/>
      </w:rPr>
      <w:t>MCCPIN Public Policy Agenda 2018</w:t>
    </w:r>
  </w:p>
  <w:p w14:paraId="0BB70B21" w14:textId="77777777" w:rsidR="008D7B4B" w:rsidRDefault="008D7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23B2" w14:textId="77777777" w:rsidR="008A16EB" w:rsidRDefault="008A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7053"/>
    <w:multiLevelType w:val="hybridMultilevel"/>
    <w:tmpl w:val="23247C6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A1AD956">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FA7"/>
    <w:multiLevelType w:val="hybridMultilevel"/>
    <w:tmpl w:val="5C0C9212"/>
    <w:lvl w:ilvl="0" w:tplc="EFAC435A">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B2127"/>
    <w:multiLevelType w:val="hybridMultilevel"/>
    <w:tmpl w:val="5594752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034ED"/>
    <w:multiLevelType w:val="hybridMultilevel"/>
    <w:tmpl w:val="AB988ABC"/>
    <w:lvl w:ilvl="0" w:tplc="EB1C437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A1AE4"/>
    <w:multiLevelType w:val="hybridMultilevel"/>
    <w:tmpl w:val="8B6C33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7E2462"/>
    <w:multiLevelType w:val="hybridMultilevel"/>
    <w:tmpl w:val="3AAC63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A2CE46AE">
      <w:numFmt w:val="bullet"/>
      <w:lvlText w:val=""/>
      <w:lvlJc w:val="left"/>
      <w:pPr>
        <w:ind w:left="3240" w:hanging="360"/>
      </w:pPr>
      <w:rPr>
        <w:rFonts w:ascii="Symbol" w:eastAsiaTheme="minorHAnsi" w:hAnsi="Symbol" w:cstheme="minorBidi" w:hint="default"/>
      </w:rPr>
    </w:lvl>
    <w:lvl w:ilvl="4" w:tplc="6888BDBA">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0376F8"/>
    <w:multiLevelType w:val="hybridMultilevel"/>
    <w:tmpl w:val="17824C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0428D"/>
    <w:multiLevelType w:val="hybridMultilevel"/>
    <w:tmpl w:val="3DF42D34"/>
    <w:lvl w:ilvl="0" w:tplc="8C3EB2C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92F323B"/>
    <w:multiLevelType w:val="hybridMultilevel"/>
    <w:tmpl w:val="8B804E42"/>
    <w:lvl w:ilvl="0" w:tplc="EB1C437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95FD1"/>
    <w:multiLevelType w:val="hybridMultilevel"/>
    <w:tmpl w:val="4E5C81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DF1280"/>
    <w:multiLevelType w:val="hybridMultilevel"/>
    <w:tmpl w:val="DC986D62"/>
    <w:lvl w:ilvl="0" w:tplc="EB1C437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109F5"/>
    <w:multiLevelType w:val="hybridMultilevel"/>
    <w:tmpl w:val="68E6D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9"/>
  </w:num>
  <w:num w:numId="5">
    <w:abstractNumId w:val="6"/>
  </w:num>
  <w:num w:numId="6">
    <w:abstractNumId w:val="7"/>
  </w:num>
  <w:num w:numId="7">
    <w:abstractNumId w:val="3"/>
  </w:num>
  <w:num w:numId="8">
    <w:abstractNumId w:val="8"/>
  </w:num>
  <w:num w:numId="9">
    <w:abstractNumId w:val="10"/>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F5"/>
    <w:rsid w:val="00033430"/>
    <w:rsid w:val="0004548C"/>
    <w:rsid w:val="00051EF5"/>
    <w:rsid w:val="00061C4F"/>
    <w:rsid w:val="00074AB5"/>
    <w:rsid w:val="00083F63"/>
    <w:rsid w:val="00096AE0"/>
    <w:rsid w:val="000D6327"/>
    <w:rsid w:val="000F2105"/>
    <w:rsid w:val="000F36B6"/>
    <w:rsid w:val="00170259"/>
    <w:rsid w:val="00191A78"/>
    <w:rsid w:val="001E3E95"/>
    <w:rsid w:val="0020591D"/>
    <w:rsid w:val="002259F2"/>
    <w:rsid w:val="00244D8A"/>
    <w:rsid w:val="0026237A"/>
    <w:rsid w:val="00264395"/>
    <w:rsid w:val="00277734"/>
    <w:rsid w:val="0028138B"/>
    <w:rsid w:val="00282BBD"/>
    <w:rsid w:val="002A5418"/>
    <w:rsid w:val="002D36A7"/>
    <w:rsid w:val="002D3D3A"/>
    <w:rsid w:val="002E19E5"/>
    <w:rsid w:val="002E296D"/>
    <w:rsid w:val="003E02A4"/>
    <w:rsid w:val="003E7599"/>
    <w:rsid w:val="00416679"/>
    <w:rsid w:val="00427470"/>
    <w:rsid w:val="00543A3A"/>
    <w:rsid w:val="00544063"/>
    <w:rsid w:val="005556B0"/>
    <w:rsid w:val="00562FA7"/>
    <w:rsid w:val="005A2A64"/>
    <w:rsid w:val="005F1BB3"/>
    <w:rsid w:val="00600379"/>
    <w:rsid w:val="00621749"/>
    <w:rsid w:val="00666911"/>
    <w:rsid w:val="00671438"/>
    <w:rsid w:val="006C2157"/>
    <w:rsid w:val="006C373A"/>
    <w:rsid w:val="006D0B94"/>
    <w:rsid w:val="007038C3"/>
    <w:rsid w:val="00705EA1"/>
    <w:rsid w:val="00712F65"/>
    <w:rsid w:val="00791749"/>
    <w:rsid w:val="00793BEA"/>
    <w:rsid w:val="007E1A2B"/>
    <w:rsid w:val="007F32E3"/>
    <w:rsid w:val="007F6150"/>
    <w:rsid w:val="008362E2"/>
    <w:rsid w:val="0088653E"/>
    <w:rsid w:val="008A16EB"/>
    <w:rsid w:val="008B30A0"/>
    <w:rsid w:val="008D6035"/>
    <w:rsid w:val="008D7B4B"/>
    <w:rsid w:val="008F2EBB"/>
    <w:rsid w:val="009778F7"/>
    <w:rsid w:val="009B4E7B"/>
    <w:rsid w:val="009F0250"/>
    <w:rsid w:val="00A13435"/>
    <w:rsid w:val="00A21E41"/>
    <w:rsid w:val="00A2252B"/>
    <w:rsid w:val="00A80A80"/>
    <w:rsid w:val="00A83B86"/>
    <w:rsid w:val="00B13D81"/>
    <w:rsid w:val="00B6190D"/>
    <w:rsid w:val="00B93E9E"/>
    <w:rsid w:val="00BF5A8D"/>
    <w:rsid w:val="00C11B6E"/>
    <w:rsid w:val="00C95192"/>
    <w:rsid w:val="00CB624A"/>
    <w:rsid w:val="00CC1A2A"/>
    <w:rsid w:val="00D23915"/>
    <w:rsid w:val="00D54749"/>
    <w:rsid w:val="00D72217"/>
    <w:rsid w:val="00D87BC0"/>
    <w:rsid w:val="00D92F94"/>
    <w:rsid w:val="00DA6973"/>
    <w:rsid w:val="00DB748A"/>
    <w:rsid w:val="00DD280D"/>
    <w:rsid w:val="00E03E32"/>
    <w:rsid w:val="00E35930"/>
    <w:rsid w:val="00E35ACC"/>
    <w:rsid w:val="00E5052F"/>
    <w:rsid w:val="00E62C2C"/>
    <w:rsid w:val="00E72286"/>
    <w:rsid w:val="00EA18CB"/>
    <w:rsid w:val="00ED4515"/>
    <w:rsid w:val="00ED519B"/>
    <w:rsid w:val="00F00486"/>
    <w:rsid w:val="00F72227"/>
    <w:rsid w:val="00FD0BA1"/>
    <w:rsid w:val="00FD21BB"/>
    <w:rsid w:val="00FE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90A6C"/>
  <w15:chartTrackingRefBased/>
  <w15:docId w15:val="{A01A2906-1F03-4AF8-B143-980381C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EF5"/>
    <w:pPr>
      <w:ind w:left="720"/>
      <w:contextualSpacing/>
    </w:pPr>
  </w:style>
  <w:style w:type="paragraph" w:styleId="Header">
    <w:name w:val="header"/>
    <w:basedOn w:val="Normal"/>
    <w:link w:val="HeaderChar"/>
    <w:uiPriority w:val="99"/>
    <w:unhideWhenUsed/>
    <w:rsid w:val="00191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A78"/>
  </w:style>
  <w:style w:type="paragraph" w:styleId="Footer">
    <w:name w:val="footer"/>
    <w:basedOn w:val="Normal"/>
    <w:link w:val="FooterChar"/>
    <w:uiPriority w:val="99"/>
    <w:unhideWhenUsed/>
    <w:rsid w:val="0019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A78"/>
  </w:style>
  <w:style w:type="paragraph" w:styleId="BalloonText">
    <w:name w:val="Balloon Text"/>
    <w:basedOn w:val="Normal"/>
    <w:link w:val="BalloonTextChar"/>
    <w:uiPriority w:val="99"/>
    <w:semiHidden/>
    <w:unhideWhenUsed/>
    <w:rsid w:val="00074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B5"/>
    <w:rPr>
      <w:rFonts w:ascii="Segoe UI" w:hAnsi="Segoe UI" w:cs="Segoe UI"/>
      <w:sz w:val="18"/>
      <w:szCs w:val="18"/>
    </w:rPr>
  </w:style>
  <w:style w:type="paragraph" w:styleId="IntenseQuote">
    <w:name w:val="Intense Quote"/>
    <w:basedOn w:val="Normal"/>
    <w:next w:val="Normal"/>
    <w:link w:val="IntenseQuoteChar"/>
    <w:uiPriority w:val="30"/>
    <w:qFormat/>
    <w:rsid w:val="006217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1749"/>
    <w:rPr>
      <w:i/>
      <w:iCs/>
      <w:color w:val="4472C4" w:themeColor="accent1"/>
    </w:rPr>
  </w:style>
  <w:style w:type="character" w:styleId="Hyperlink">
    <w:name w:val="Hyperlink"/>
    <w:basedOn w:val="DefaultParagraphFont"/>
    <w:uiPriority w:val="99"/>
    <w:unhideWhenUsed/>
    <w:rsid w:val="001E3E95"/>
    <w:rPr>
      <w:color w:val="0563C1" w:themeColor="hyperlink"/>
      <w:u w:val="single"/>
    </w:rPr>
  </w:style>
  <w:style w:type="character" w:styleId="UnresolvedMention">
    <w:name w:val="Unresolved Mention"/>
    <w:basedOn w:val="DefaultParagraphFont"/>
    <w:uiPriority w:val="99"/>
    <w:semiHidden/>
    <w:unhideWhenUsed/>
    <w:rsid w:val="001E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Cyndi Cunningham</cp:lastModifiedBy>
  <cp:revision>26</cp:revision>
  <cp:lastPrinted>2018-01-22T13:08:00Z</cp:lastPrinted>
  <dcterms:created xsi:type="dcterms:W3CDTF">2018-01-21T18:25:00Z</dcterms:created>
  <dcterms:modified xsi:type="dcterms:W3CDTF">2018-02-27T12:12:00Z</dcterms:modified>
</cp:coreProperties>
</file>