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FB0AA9">
        <w:t>2780</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FB0AA9">
        <w:rPr>
          <w:bCs/>
        </w:rPr>
        <w:t>March 6,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FB0AA9">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FB0AA9">
        <w:rPr>
          <w:bCs/>
        </w:rPr>
        <w:t>Quam</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FB0AA9">
        <w:rPr>
          <w:bCs/>
        </w:rPr>
        <w:t>Child care background studies</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D14C6F">
        <w:rPr>
          <w:bCs/>
        </w:rPr>
        <w:t>Sarah Sunderman</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DE9CD"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1F7033" w:rsidRDefault="005A097B">
      <w:pPr>
        <w:tabs>
          <w:tab w:val="left" w:pos="-360"/>
          <w:tab w:val="left" w:pos="0"/>
          <w:tab w:val="left" w:pos="1080"/>
        </w:tabs>
        <w:spacing w:before="100" w:beforeAutospacing="1" w:after="100" w:afterAutospacing="1"/>
        <w:ind w:left="1080" w:right="1080"/>
      </w:pPr>
      <w:r>
        <w:t xml:space="preserve">Human services background studies are governed by </w:t>
      </w:r>
      <w:r w:rsidR="001F7033">
        <w:t>chapter</w:t>
      </w:r>
      <w:r>
        <w:t xml:space="preserve"> 245C</w:t>
      </w:r>
      <w:r w:rsidR="001F7033">
        <w:t xml:space="preserve">. Upon the implementation of 2017 changes to background study requirements for child care providers, providers age 18 or older will be required to have a national criminal history (FBI) check, but children ages 13 to 17 in a child care household will not. Both groups will be required to have a fingerprint and photograph background check. </w:t>
      </w:r>
      <w:r w:rsidR="00B20B91">
        <w:t>U</w:t>
      </w:r>
      <w:r w:rsidR="001F7033">
        <w:t>nder section 245C.05</w:t>
      </w:r>
      <w:r w:rsidR="00B20B91">
        <w:t>, state agencies do not retain the fingerprints</w:t>
      </w:r>
      <w:r w:rsidR="001F7033">
        <w:t>.</w:t>
      </w:r>
    </w:p>
    <w:p w:rsidR="002B114A" w:rsidRDefault="001F7033">
      <w:pPr>
        <w:tabs>
          <w:tab w:val="left" w:pos="-360"/>
          <w:tab w:val="left" w:pos="0"/>
          <w:tab w:val="left" w:pos="1080"/>
        </w:tabs>
        <w:spacing w:before="100" w:beforeAutospacing="1" w:after="100" w:afterAutospacing="1"/>
        <w:ind w:left="1080" w:right="1080"/>
      </w:pPr>
      <w:r>
        <w:t xml:space="preserve">This bill would allow a parent to submit their child’s records for a national criminal history check, good for five years. The bill would also </w:t>
      </w:r>
      <w:r w:rsidR="00B20B91">
        <w:t>require the relevant state agencies to notify background study subjects that their fingerprints are not retained, and would require the commissioner of human services to create a simplified and unified background study system across different agencies.</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Default="00177C2E" w:rsidP="00CC18B5">
            <w:pPr>
              <w:pStyle w:val="Sectionnumber"/>
              <w:numPr>
                <w:ilvl w:val="0"/>
                <w:numId w:val="0"/>
              </w:numPr>
              <w:spacing w:before="0" w:beforeAutospacing="0" w:after="120" w:afterAutospacing="0"/>
            </w:pPr>
            <w:r w:rsidRPr="00177C2E">
              <w:rPr>
                <w:bCs/>
              </w:rPr>
              <w:t>Minor children background studies</w:t>
            </w:r>
            <w:r>
              <w:rPr>
                <w:bCs/>
              </w:rPr>
              <w:t>.</w:t>
            </w:r>
            <w:r w:rsidR="00FB0AA9">
              <w:rPr>
                <w:bCs/>
              </w:rPr>
              <w:t xml:space="preserve"> </w:t>
            </w:r>
            <w:r>
              <w:rPr>
                <w:b w:val="0"/>
                <w:bCs/>
              </w:rPr>
              <w:t xml:space="preserve">Adds subdivision 1a to § </w:t>
            </w:r>
            <w:r w:rsidR="00FB0AA9" w:rsidRPr="00177C2E">
              <w:rPr>
                <w:b w:val="0"/>
                <w:bCs/>
              </w:rPr>
              <w:t>245C.03</w:t>
            </w:r>
            <w:r>
              <w:rPr>
                <w:b w:val="0"/>
                <w:bCs/>
              </w:rPr>
              <w:t>. Allows a parent to choose to submit a national criminal history record check for their child if the child is age 13</w:t>
            </w:r>
            <w:r w:rsidR="00CC18B5">
              <w:rPr>
                <w:b w:val="0"/>
                <w:bCs/>
              </w:rPr>
              <w:t xml:space="preserve"> to </w:t>
            </w:r>
            <w:r>
              <w:rPr>
                <w:b w:val="0"/>
                <w:bCs/>
              </w:rPr>
              <w:t>17 and resides in a household where child care is provided. Specifies that a background study conducted under this subdivision remains valid for five years. Makes the section effective upon the implementation of NETStudy 2.0 for family child care programs.</w:t>
            </w:r>
          </w:p>
        </w:tc>
      </w:tr>
      <w:tr w:rsidR="00177C2E">
        <w:tc>
          <w:tcPr>
            <w:tcW w:w="1195" w:type="dxa"/>
            <w:tcMar>
              <w:right w:w="43" w:type="dxa"/>
            </w:tcMar>
          </w:tcPr>
          <w:p w:rsidR="00177C2E" w:rsidRDefault="00177C2E" w:rsidP="00EE5435">
            <w:pPr>
              <w:pStyle w:val="Sectionnumber"/>
              <w:spacing w:before="0" w:beforeAutospacing="0" w:after="120" w:afterAutospacing="0"/>
            </w:pPr>
          </w:p>
        </w:tc>
        <w:tc>
          <w:tcPr>
            <w:tcW w:w="9101" w:type="dxa"/>
          </w:tcPr>
          <w:p w:rsidR="00177C2E" w:rsidRPr="00177C2E" w:rsidRDefault="00177C2E" w:rsidP="00FC55CA">
            <w:pPr>
              <w:pStyle w:val="Sectionnumber"/>
              <w:numPr>
                <w:ilvl w:val="0"/>
                <w:numId w:val="0"/>
              </w:numPr>
              <w:spacing w:before="0" w:beforeAutospacing="0" w:after="120" w:afterAutospacing="0"/>
              <w:rPr>
                <w:b w:val="0"/>
                <w:bCs/>
              </w:rPr>
            </w:pPr>
            <w:r>
              <w:rPr>
                <w:bCs/>
              </w:rPr>
              <w:t xml:space="preserve">Direction to commissioner; fingerprint data notification. </w:t>
            </w:r>
            <w:r>
              <w:rPr>
                <w:b w:val="0"/>
                <w:bCs/>
              </w:rPr>
              <w:t>Re</w:t>
            </w:r>
            <w:bookmarkStart w:id="0" w:name="_GoBack"/>
            <w:bookmarkEnd w:id="0"/>
            <w:r>
              <w:rPr>
                <w:b w:val="0"/>
                <w:bCs/>
              </w:rPr>
              <w:t>quires the commissioner of human services to notify background study subjects that the Department of Human Services, Department of Public Safety, and the Bureau of Criminal Apprehension do not retain fingerprint data after completing a background study. Makes the section effective for background studies completed on or after October 1, 2018.</w:t>
            </w:r>
          </w:p>
        </w:tc>
      </w:tr>
      <w:tr w:rsidR="00177C2E">
        <w:tc>
          <w:tcPr>
            <w:tcW w:w="1195" w:type="dxa"/>
            <w:tcMar>
              <w:right w:w="43" w:type="dxa"/>
            </w:tcMar>
          </w:tcPr>
          <w:p w:rsidR="00177C2E" w:rsidRDefault="00177C2E" w:rsidP="00EE5435">
            <w:pPr>
              <w:pStyle w:val="Sectionnumber"/>
              <w:spacing w:before="0" w:beforeAutospacing="0" w:after="120" w:afterAutospacing="0"/>
            </w:pPr>
          </w:p>
        </w:tc>
        <w:tc>
          <w:tcPr>
            <w:tcW w:w="9101" w:type="dxa"/>
          </w:tcPr>
          <w:p w:rsidR="005A097B" w:rsidRDefault="00177C2E" w:rsidP="00FC55CA">
            <w:pPr>
              <w:pStyle w:val="Sectionnumber"/>
              <w:numPr>
                <w:ilvl w:val="0"/>
                <w:numId w:val="0"/>
              </w:numPr>
              <w:spacing w:before="0" w:beforeAutospacing="0" w:after="120" w:afterAutospacing="0"/>
              <w:rPr>
                <w:b w:val="0"/>
                <w:bCs/>
              </w:rPr>
            </w:pPr>
            <w:r>
              <w:rPr>
                <w:bCs/>
              </w:rPr>
              <w:t xml:space="preserve">Direction to commissioner; unifying background studies. </w:t>
            </w:r>
            <w:r>
              <w:rPr>
                <w:b w:val="0"/>
                <w:bCs/>
              </w:rPr>
              <w:t>Requires the commissioner of human services to work with</w:t>
            </w:r>
            <w:r w:rsidR="005A097B">
              <w:rPr>
                <w:b w:val="0"/>
                <w:bCs/>
              </w:rPr>
              <w:t xml:space="preserve"> relevant</w:t>
            </w:r>
            <w:r>
              <w:rPr>
                <w:b w:val="0"/>
                <w:bCs/>
              </w:rPr>
              <w:t xml:space="preserve"> stakeholders, agencies, and boards to unify the background study systems for health, human services, health-related occupational licensing boards, and the </w:t>
            </w:r>
            <w:r w:rsidR="001D0BC2" w:rsidRPr="001D0BC2">
              <w:rPr>
                <w:b w:val="0"/>
              </w:rPr>
              <w:t>Professional Educator Licensing and Standards Board</w:t>
            </w:r>
            <w:r w:rsidR="005A097B">
              <w:rPr>
                <w:b w:val="0"/>
                <w:bCs/>
              </w:rPr>
              <w:t xml:space="preserve">. </w:t>
            </w:r>
          </w:p>
          <w:p w:rsidR="005A097B" w:rsidRDefault="005A097B" w:rsidP="00FC55CA">
            <w:pPr>
              <w:pStyle w:val="Sectionnumber"/>
              <w:numPr>
                <w:ilvl w:val="0"/>
                <w:numId w:val="0"/>
              </w:numPr>
              <w:spacing w:before="0" w:beforeAutospacing="0" w:after="120" w:afterAutospacing="0"/>
              <w:rPr>
                <w:b w:val="0"/>
                <w:bCs/>
              </w:rPr>
            </w:pPr>
            <w:r>
              <w:rPr>
                <w:b w:val="0"/>
                <w:bCs/>
              </w:rPr>
              <w:t xml:space="preserve">Requires the commissioner to establish a single background study process for the above professions and agencies, transferable between professions, counties, and provider types. </w:t>
            </w:r>
          </w:p>
          <w:p w:rsidR="005A097B" w:rsidRDefault="005A097B" w:rsidP="00FC55CA">
            <w:pPr>
              <w:pStyle w:val="Sectionnumber"/>
              <w:numPr>
                <w:ilvl w:val="0"/>
                <w:numId w:val="0"/>
              </w:numPr>
              <w:spacing w:before="0" w:beforeAutospacing="0" w:after="120" w:afterAutospacing="0"/>
              <w:rPr>
                <w:b w:val="0"/>
                <w:bCs/>
              </w:rPr>
            </w:pPr>
            <w:r>
              <w:rPr>
                <w:b w:val="0"/>
                <w:bCs/>
              </w:rPr>
              <w:t>Requires the commissioner to simplify the background study fee structure, identify any federal waivers necessary to complete this task, and propose legislation in the 2019 legislative session to establish the unified background study process.</w:t>
            </w:r>
          </w:p>
          <w:p w:rsidR="005A097B" w:rsidRPr="00177C2E" w:rsidRDefault="005A097B" w:rsidP="00FC55CA">
            <w:pPr>
              <w:pStyle w:val="Sectionnumber"/>
              <w:numPr>
                <w:ilvl w:val="0"/>
                <w:numId w:val="0"/>
              </w:numPr>
              <w:spacing w:before="0" w:beforeAutospacing="0" w:after="120" w:afterAutospacing="0"/>
              <w:rPr>
                <w:b w:val="0"/>
                <w:bCs/>
              </w:rPr>
            </w:pPr>
            <w:r>
              <w:rPr>
                <w:b w:val="0"/>
                <w:bCs/>
              </w:rPr>
              <w:t>Makes this section effective the day following final enactment.</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AA9" w:rsidRDefault="00FB0AA9">
      <w:pPr>
        <w:spacing w:after="0"/>
      </w:pPr>
      <w:r>
        <w:separator/>
      </w:r>
    </w:p>
  </w:endnote>
  <w:endnote w:type="continuationSeparator" w:id="0">
    <w:p w:rsidR="00FB0AA9" w:rsidRDefault="00FB0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6D17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425020">
      <w:rPr>
        <w:noProof/>
        <w:snapToGrid w:val="0"/>
        <w:sz w:val="18"/>
      </w:rPr>
      <w:t>G:\Summaries\2018\2780 Quam.ss.docx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425020">
      <w:rPr>
        <w:noProof/>
        <w:snapToGrid w:val="0"/>
        <w:sz w:val="18"/>
      </w:rPr>
      <w:t>3/6/2018 10:58:00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DAA0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425020">
      <w:rPr>
        <w:noProof/>
        <w:snapToGrid w:val="0"/>
        <w:sz w:val="18"/>
      </w:rPr>
      <w:t>G:\Summaries\2018\2780 Quam.ss.docx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425020">
      <w:rPr>
        <w:noProof/>
        <w:snapToGrid w:val="0"/>
        <w:sz w:val="18"/>
      </w:rPr>
      <w:t>3/6/2018 10:58:00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AA9" w:rsidRDefault="00FB0AA9">
      <w:pPr>
        <w:spacing w:after="0"/>
      </w:pPr>
      <w:r>
        <w:separator/>
      </w:r>
    </w:p>
  </w:footnote>
  <w:footnote w:type="continuationSeparator" w:id="0">
    <w:p w:rsidR="00FB0AA9" w:rsidRDefault="00FB0A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A2" w:rsidRDefault="00167EA2">
    <w:pPr>
      <w:pStyle w:val="Header"/>
    </w:pPr>
    <w:r w:rsidRPr="00167EA2">
      <w:t>H.F. 2780</w:t>
    </w:r>
    <w:r w:rsidRPr="00167EA2">
      <w:tab/>
    </w:r>
    <w:r>
      <w:tab/>
    </w:r>
    <w:r w:rsidRPr="00167EA2">
      <w:t>March 6, 2018</w:t>
    </w:r>
  </w:p>
  <w:p w:rsidR="00167EA2" w:rsidRDefault="00167EA2">
    <w:pPr>
      <w:pStyle w:val="Header"/>
    </w:pPr>
    <w:r w:rsidRPr="00167EA2">
      <w:t>Version:</w:t>
    </w:r>
    <w:r w:rsidRPr="00167EA2">
      <w:tab/>
      <w:t>As introduced</w:t>
    </w:r>
    <w:r>
      <w:tab/>
      <w:t xml:space="preserve">Page </w:t>
    </w:r>
    <w:r>
      <w:fldChar w:fldCharType="begin"/>
    </w:r>
    <w:r>
      <w:instrText xml:space="preserve"> PAGE  \* MERGEFORMAT </w:instrText>
    </w:r>
    <w:r>
      <w:fldChar w:fldCharType="separate"/>
    </w:r>
    <w:r w:rsidR="00425020">
      <w:rPr>
        <w:noProof/>
      </w:rPr>
      <w:t>2</w:t>
    </w:r>
    <w:r>
      <w:fldChar w:fldCharType="end"/>
    </w:r>
  </w:p>
  <w:p w:rsidR="00167EA2" w:rsidRDefault="00167EA2">
    <w:pPr>
      <w:pStyle w:val="Header"/>
    </w:pPr>
  </w:p>
  <w:p w:rsidR="00167EA2" w:rsidRPr="00167EA2" w:rsidRDefault="00167EA2" w:rsidP="00167EA2">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A9"/>
    <w:rsid w:val="00017133"/>
    <w:rsid w:val="0002163B"/>
    <w:rsid w:val="000774FA"/>
    <w:rsid w:val="000A1513"/>
    <w:rsid w:val="00162B42"/>
    <w:rsid w:val="00167EA2"/>
    <w:rsid w:val="00177C2E"/>
    <w:rsid w:val="001D0BC2"/>
    <w:rsid w:val="001F7033"/>
    <w:rsid w:val="0026479C"/>
    <w:rsid w:val="00266735"/>
    <w:rsid w:val="00266B4B"/>
    <w:rsid w:val="0028618B"/>
    <w:rsid w:val="00290C36"/>
    <w:rsid w:val="002B114A"/>
    <w:rsid w:val="0030374E"/>
    <w:rsid w:val="0031102F"/>
    <w:rsid w:val="003160E0"/>
    <w:rsid w:val="003D120D"/>
    <w:rsid w:val="00405797"/>
    <w:rsid w:val="00425020"/>
    <w:rsid w:val="00475268"/>
    <w:rsid w:val="004C51B2"/>
    <w:rsid w:val="00512097"/>
    <w:rsid w:val="00555213"/>
    <w:rsid w:val="00560958"/>
    <w:rsid w:val="005A097B"/>
    <w:rsid w:val="005E4BEA"/>
    <w:rsid w:val="00616D28"/>
    <w:rsid w:val="00630E3C"/>
    <w:rsid w:val="006719EA"/>
    <w:rsid w:val="006A57F0"/>
    <w:rsid w:val="006B1887"/>
    <w:rsid w:val="006F13AE"/>
    <w:rsid w:val="006F7B30"/>
    <w:rsid w:val="00711F6B"/>
    <w:rsid w:val="00721873"/>
    <w:rsid w:val="0074665F"/>
    <w:rsid w:val="007673C2"/>
    <w:rsid w:val="00784AAC"/>
    <w:rsid w:val="007B116E"/>
    <w:rsid w:val="007C22D8"/>
    <w:rsid w:val="007C5461"/>
    <w:rsid w:val="007F37AD"/>
    <w:rsid w:val="008345F2"/>
    <w:rsid w:val="008424A4"/>
    <w:rsid w:val="00904AA6"/>
    <w:rsid w:val="0091055C"/>
    <w:rsid w:val="009129D2"/>
    <w:rsid w:val="0098613B"/>
    <w:rsid w:val="0099298F"/>
    <w:rsid w:val="009B3D82"/>
    <w:rsid w:val="009B799F"/>
    <w:rsid w:val="009D4386"/>
    <w:rsid w:val="009F572B"/>
    <w:rsid w:val="00A22D30"/>
    <w:rsid w:val="00A5364A"/>
    <w:rsid w:val="00A76D6A"/>
    <w:rsid w:val="00A77111"/>
    <w:rsid w:val="00A8513B"/>
    <w:rsid w:val="00A96A3C"/>
    <w:rsid w:val="00AA551F"/>
    <w:rsid w:val="00AB6828"/>
    <w:rsid w:val="00AB78BA"/>
    <w:rsid w:val="00AD17F7"/>
    <w:rsid w:val="00AE465F"/>
    <w:rsid w:val="00AF1245"/>
    <w:rsid w:val="00AF3D8E"/>
    <w:rsid w:val="00B20B91"/>
    <w:rsid w:val="00B47BAB"/>
    <w:rsid w:val="00B80D2B"/>
    <w:rsid w:val="00B81146"/>
    <w:rsid w:val="00B911B2"/>
    <w:rsid w:val="00BE5753"/>
    <w:rsid w:val="00BF28E5"/>
    <w:rsid w:val="00CB22A1"/>
    <w:rsid w:val="00CC18B5"/>
    <w:rsid w:val="00CC53F6"/>
    <w:rsid w:val="00D14C6F"/>
    <w:rsid w:val="00D53003"/>
    <w:rsid w:val="00D87E86"/>
    <w:rsid w:val="00DB114F"/>
    <w:rsid w:val="00DB5C9E"/>
    <w:rsid w:val="00E154A4"/>
    <w:rsid w:val="00E25632"/>
    <w:rsid w:val="00E45A55"/>
    <w:rsid w:val="00E56020"/>
    <w:rsid w:val="00EC4E16"/>
    <w:rsid w:val="00EE5435"/>
    <w:rsid w:val="00EF6E58"/>
    <w:rsid w:val="00F43E68"/>
    <w:rsid w:val="00F44D8C"/>
    <w:rsid w:val="00F46A64"/>
    <w:rsid w:val="00F5014C"/>
    <w:rsid w:val="00F609B2"/>
    <w:rsid w:val="00FB0AA9"/>
    <w:rsid w:val="00FC55CA"/>
    <w:rsid w:val="00FE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799596D-6DBB-479B-BC29-96F528BC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1029">
      <w:bodyDiv w:val="1"/>
      <w:marLeft w:val="0"/>
      <w:marRight w:val="0"/>
      <w:marTop w:val="0"/>
      <w:marBottom w:val="0"/>
      <w:divBdr>
        <w:top w:val="none" w:sz="0" w:space="0" w:color="auto"/>
        <w:left w:val="none" w:sz="0" w:space="0" w:color="auto"/>
        <w:bottom w:val="none" w:sz="0" w:space="0" w:color="auto"/>
        <w:right w:val="none" w:sz="0" w:space="0" w:color="auto"/>
      </w:divBdr>
      <w:divsChild>
        <w:div w:id="1155609544">
          <w:marLeft w:val="0"/>
          <w:marRight w:val="0"/>
          <w:marTop w:val="0"/>
          <w:marBottom w:val="0"/>
          <w:divBdr>
            <w:top w:val="none" w:sz="0" w:space="0" w:color="auto"/>
            <w:left w:val="none" w:sz="0" w:space="0" w:color="auto"/>
            <w:bottom w:val="none" w:sz="0" w:space="0" w:color="auto"/>
            <w:right w:val="none" w:sz="0" w:space="0" w:color="auto"/>
          </w:divBdr>
          <w:divsChild>
            <w:div w:id="1590429344">
              <w:marLeft w:val="0"/>
              <w:marRight w:val="0"/>
              <w:marTop w:val="0"/>
              <w:marBottom w:val="0"/>
              <w:divBdr>
                <w:top w:val="none" w:sz="0" w:space="0" w:color="auto"/>
                <w:left w:val="none" w:sz="0" w:space="0" w:color="auto"/>
                <w:bottom w:val="none" w:sz="0" w:space="0" w:color="auto"/>
                <w:right w:val="none" w:sz="0" w:space="0" w:color="auto"/>
              </w:divBdr>
              <w:divsChild>
                <w:div w:id="2145850976">
                  <w:marLeft w:val="0"/>
                  <w:marRight w:val="0"/>
                  <w:marTop w:val="0"/>
                  <w:marBottom w:val="0"/>
                  <w:divBdr>
                    <w:top w:val="none" w:sz="0" w:space="0" w:color="auto"/>
                    <w:left w:val="none" w:sz="0" w:space="0" w:color="auto"/>
                    <w:bottom w:val="none" w:sz="0" w:space="0" w:color="auto"/>
                    <w:right w:val="none" w:sz="0" w:space="0" w:color="auto"/>
                  </w:divBdr>
                  <w:divsChild>
                    <w:div w:id="1182432184">
                      <w:marLeft w:val="0"/>
                      <w:marRight w:val="0"/>
                      <w:marTop w:val="0"/>
                      <w:marBottom w:val="0"/>
                      <w:divBdr>
                        <w:top w:val="none" w:sz="0" w:space="0" w:color="auto"/>
                        <w:left w:val="none" w:sz="0" w:space="0" w:color="auto"/>
                        <w:bottom w:val="none" w:sz="0" w:space="0" w:color="auto"/>
                        <w:right w:val="none" w:sz="0" w:space="0" w:color="auto"/>
                      </w:divBdr>
                      <w:divsChild>
                        <w:div w:id="1410537759">
                          <w:marLeft w:val="1200"/>
                          <w:marRight w:val="0"/>
                          <w:marTop w:val="0"/>
                          <w:marBottom w:val="0"/>
                          <w:divBdr>
                            <w:top w:val="none" w:sz="0" w:space="0" w:color="auto"/>
                            <w:left w:val="none" w:sz="0" w:space="0" w:color="auto"/>
                            <w:bottom w:val="none" w:sz="0" w:space="0" w:color="auto"/>
                            <w:right w:val="none" w:sz="0" w:space="0" w:color="auto"/>
                          </w:divBdr>
                          <w:divsChild>
                            <w:div w:id="5897765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976279">
      <w:bodyDiv w:val="1"/>
      <w:marLeft w:val="0"/>
      <w:marRight w:val="0"/>
      <w:marTop w:val="0"/>
      <w:marBottom w:val="0"/>
      <w:divBdr>
        <w:top w:val="none" w:sz="0" w:space="0" w:color="auto"/>
        <w:left w:val="none" w:sz="0" w:space="0" w:color="auto"/>
        <w:bottom w:val="none" w:sz="0" w:space="0" w:color="auto"/>
        <w:right w:val="none" w:sz="0" w:space="0" w:color="auto"/>
      </w:divBdr>
      <w:divsChild>
        <w:div w:id="1227646487">
          <w:marLeft w:val="0"/>
          <w:marRight w:val="0"/>
          <w:marTop w:val="0"/>
          <w:marBottom w:val="0"/>
          <w:divBdr>
            <w:top w:val="none" w:sz="0" w:space="0" w:color="auto"/>
            <w:left w:val="none" w:sz="0" w:space="0" w:color="auto"/>
            <w:bottom w:val="none" w:sz="0" w:space="0" w:color="auto"/>
            <w:right w:val="none" w:sz="0" w:space="0" w:color="auto"/>
          </w:divBdr>
          <w:divsChild>
            <w:div w:id="1682200717">
              <w:marLeft w:val="0"/>
              <w:marRight w:val="0"/>
              <w:marTop w:val="0"/>
              <w:marBottom w:val="0"/>
              <w:divBdr>
                <w:top w:val="none" w:sz="0" w:space="0" w:color="auto"/>
                <w:left w:val="none" w:sz="0" w:space="0" w:color="auto"/>
                <w:bottom w:val="none" w:sz="0" w:space="0" w:color="auto"/>
                <w:right w:val="none" w:sz="0" w:space="0" w:color="auto"/>
              </w:divBdr>
              <w:divsChild>
                <w:div w:id="550701252">
                  <w:marLeft w:val="0"/>
                  <w:marRight w:val="0"/>
                  <w:marTop w:val="0"/>
                  <w:marBottom w:val="0"/>
                  <w:divBdr>
                    <w:top w:val="none" w:sz="0" w:space="0" w:color="auto"/>
                    <w:left w:val="none" w:sz="0" w:space="0" w:color="auto"/>
                    <w:bottom w:val="none" w:sz="0" w:space="0" w:color="auto"/>
                    <w:right w:val="none" w:sz="0" w:space="0" w:color="auto"/>
                  </w:divBdr>
                  <w:divsChild>
                    <w:div w:id="533081279">
                      <w:marLeft w:val="0"/>
                      <w:marRight w:val="0"/>
                      <w:marTop w:val="0"/>
                      <w:marBottom w:val="0"/>
                      <w:divBdr>
                        <w:top w:val="none" w:sz="0" w:space="0" w:color="auto"/>
                        <w:left w:val="none" w:sz="0" w:space="0" w:color="auto"/>
                        <w:bottom w:val="none" w:sz="0" w:space="0" w:color="auto"/>
                        <w:right w:val="none" w:sz="0" w:space="0" w:color="auto"/>
                      </w:divBdr>
                      <w:divsChild>
                        <w:div w:id="1763409129">
                          <w:marLeft w:val="1200"/>
                          <w:marRight w:val="0"/>
                          <w:marTop w:val="0"/>
                          <w:marBottom w:val="0"/>
                          <w:divBdr>
                            <w:top w:val="none" w:sz="0" w:space="0" w:color="auto"/>
                            <w:left w:val="none" w:sz="0" w:space="0" w:color="auto"/>
                            <w:bottom w:val="none" w:sz="0" w:space="0" w:color="auto"/>
                            <w:right w:val="none" w:sz="0" w:space="0" w:color="auto"/>
                          </w:divBdr>
                          <w:divsChild>
                            <w:div w:id="5453390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6223">
      <w:bodyDiv w:val="1"/>
      <w:marLeft w:val="0"/>
      <w:marRight w:val="0"/>
      <w:marTop w:val="0"/>
      <w:marBottom w:val="0"/>
      <w:divBdr>
        <w:top w:val="none" w:sz="0" w:space="0" w:color="auto"/>
        <w:left w:val="none" w:sz="0" w:space="0" w:color="auto"/>
        <w:bottom w:val="none" w:sz="0" w:space="0" w:color="auto"/>
        <w:right w:val="none" w:sz="0" w:space="0" w:color="auto"/>
      </w:divBdr>
      <w:divsChild>
        <w:div w:id="568929111">
          <w:marLeft w:val="0"/>
          <w:marRight w:val="0"/>
          <w:marTop w:val="0"/>
          <w:marBottom w:val="0"/>
          <w:divBdr>
            <w:top w:val="none" w:sz="0" w:space="0" w:color="auto"/>
            <w:left w:val="none" w:sz="0" w:space="0" w:color="auto"/>
            <w:bottom w:val="none" w:sz="0" w:space="0" w:color="auto"/>
            <w:right w:val="none" w:sz="0" w:space="0" w:color="auto"/>
          </w:divBdr>
          <w:divsChild>
            <w:div w:id="1421828968">
              <w:marLeft w:val="0"/>
              <w:marRight w:val="0"/>
              <w:marTop w:val="0"/>
              <w:marBottom w:val="0"/>
              <w:divBdr>
                <w:top w:val="none" w:sz="0" w:space="0" w:color="auto"/>
                <w:left w:val="none" w:sz="0" w:space="0" w:color="auto"/>
                <w:bottom w:val="none" w:sz="0" w:space="0" w:color="auto"/>
                <w:right w:val="none" w:sz="0" w:space="0" w:color="auto"/>
              </w:divBdr>
              <w:divsChild>
                <w:div w:id="104084596">
                  <w:marLeft w:val="0"/>
                  <w:marRight w:val="0"/>
                  <w:marTop w:val="0"/>
                  <w:marBottom w:val="0"/>
                  <w:divBdr>
                    <w:top w:val="none" w:sz="0" w:space="0" w:color="auto"/>
                    <w:left w:val="none" w:sz="0" w:space="0" w:color="auto"/>
                    <w:bottom w:val="none" w:sz="0" w:space="0" w:color="auto"/>
                    <w:right w:val="none" w:sz="0" w:space="0" w:color="auto"/>
                  </w:divBdr>
                  <w:divsChild>
                    <w:div w:id="676076002">
                      <w:marLeft w:val="0"/>
                      <w:marRight w:val="0"/>
                      <w:marTop w:val="0"/>
                      <w:marBottom w:val="0"/>
                      <w:divBdr>
                        <w:top w:val="none" w:sz="0" w:space="0" w:color="auto"/>
                        <w:left w:val="none" w:sz="0" w:space="0" w:color="auto"/>
                        <w:bottom w:val="none" w:sz="0" w:space="0" w:color="auto"/>
                        <w:right w:val="none" w:sz="0" w:space="0" w:color="auto"/>
                      </w:divBdr>
                      <w:divsChild>
                        <w:div w:id="904877860">
                          <w:marLeft w:val="1200"/>
                          <w:marRight w:val="0"/>
                          <w:marTop w:val="0"/>
                          <w:marBottom w:val="0"/>
                          <w:divBdr>
                            <w:top w:val="none" w:sz="0" w:space="0" w:color="auto"/>
                            <w:left w:val="none" w:sz="0" w:space="0" w:color="auto"/>
                            <w:bottom w:val="none" w:sz="0" w:space="0" w:color="auto"/>
                            <w:right w:val="none" w:sz="0" w:space="0" w:color="auto"/>
                          </w:divBdr>
                          <w:divsChild>
                            <w:div w:id="4773810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4</TotalTime>
  <Pages>2</Pages>
  <Words>435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Child care</dc:subject>
  <dc:creator>Sarah Sunderman</dc:creator>
  <cp:keywords>Background Studies</cp:keywords>
  <dc:description/>
  <cp:lastModifiedBy>Julie Fastner</cp:lastModifiedBy>
  <cp:revision>9</cp:revision>
  <cp:lastPrinted>2018-03-06T16:58:00Z</cp:lastPrinted>
  <dcterms:created xsi:type="dcterms:W3CDTF">2018-03-06T16:55:00Z</dcterms:created>
  <dcterms:modified xsi:type="dcterms:W3CDTF">2018-03-06T16:58:00Z</dcterms:modified>
  <cp:category>Health and Human Services</cp:category>
</cp:coreProperties>
</file>