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C57" w:rsidRDefault="008D0C57" w:rsidP="008D0C57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spacing w:after="0"/>
        <w:ind w:right="360"/>
        <w:jc w:val="center"/>
        <w:rPr>
          <w:sz w:val="56"/>
        </w:rPr>
      </w:pPr>
      <w:bookmarkStart w:id="0" w:name="_GoBack"/>
      <w:bookmarkEnd w:id="0"/>
    </w:p>
    <w:p w:rsidR="008D0C57" w:rsidRDefault="008D0C57" w:rsidP="008D0C57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spacing w:after="0"/>
        <w:ind w:right="360"/>
        <w:jc w:val="center"/>
        <w:rPr>
          <w:sz w:val="56"/>
        </w:rPr>
      </w:pPr>
      <w:r>
        <w:rPr>
          <w:sz w:val="56"/>
        </w:rPr>
        <w:t>Bill Summary Comparison of</w:t>
      </w:r>
    </w:p>
    <w:p w:rsidR="008D0C57" w:rsidRDefault="008D0C57" w:rsidP="008D0C57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  <w:jc w:val="center"/>
        <w:rPr>
          <w:sz w:val="56"/>
        </w:rPr>
      </w:pPr>
      <w:r>
        <w:rPr>
          <w:sz w:val="56"/>
        </w:rPr>
        <w:t>Health and Human Services</w:t>
      </w:r>
    </w:p>
    <w:p w:rsidR="008D0C57" w:rsidRDefault="008D0C57" w:rsidP="008D0C57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  <w:jc w:val="center"/>
        <w:rPr>
          <w:sz w:val="56"/>
        </w:rPr>
      </w:pPr>
    </w:p>
    <w:p w:rsidR="008D0C57" w:rsidRDefault="008D0C57"/>
    <w:tbl>
      <w:tblPr>
        <w:tblW w:w="0" w:type="auto"/>
        <w:tblInd w:w="2448" w:type="dxa"/>
        <w:tblLook w:val="0000" w:firstRow="0" w:lastRow="0" w:firstColumn="0" w:lastColumn="0" w:noHBand="0" w:noVBand="0"/>
      </w:tblPr>
      <w:tblGrid>
        <w:gridCol w:w="7020"/>
        <w:gridCol w:w="7027"/>
      </w:tblGrid>
      <w:tr w:rsidR="008D0C57" w:rsidTr="002D1426">
        <w:tc>
          <w:tcPr>
            <w:tcW w:w="7020" w:type="dxa"/>
          </w:tcPr>
          <w:p w:rsidR="008D0C57" w:rsidRDefault="00BA335F" w:rsidP="002D1426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before="100" w:beforeAutospacing="1" w:after="0"/>
              <w:ind w:right="360"/>
              <w:jc w:val="center"/>
              <w:rPr>
                <w:sz w:val="40"/>
              </w:rPr>
            </w:pPr>
            <w:r>
              <w:rPr>
                <w:sz w:val="40"/>
              </w:rPr>
              <w:t>Senate File: 800-3</w:t>
            </w:r>
          </w:p>
        </w:tc>
        <w:tc>
          <w:tcPr>
            <w:tcW w:w="7027" w:type="dxa"/>
          </w:tcPr>
          <w:p w:rsidR="008D0C57" w:rsidRDefault="00BA335F" w:rsidP="002D1426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before="100" w:beforeAutospacing="1" w:after="0"/>
              <w:ind w:right="360"/>
              <w:jc w:val="center"/>
              <w:rPr>
                <w:sz w:val="40"/>
              </w:rPr>
            </w:pPr>
            <w:r>
              <w:rPr>
                <w:sz w:val="40"/>
              </w:rPr>
              <w:t>House File: UES0800-2</w:t>
            </w:r>
          </w:p>
        </w:tc>
      </w:tr>
      <w:tr w:rsidR="008D0C57" w:rsidTr="00BA335F">
        <w:tc>
          <w:tcPr>
            <w:tcW w:w="7020" w:type="dxa"/>
            <w:vAlign w:val="center"/>
          </w:tcPr>
          <w:p w:rsidR="008D0C57" w:rsidRPr="00BA335F" w:rsidRDefault="00BA335F" w:rsidP="00BA335F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after="100" w:afterAutospacing="1"/>
              <w:ind w:right="360"/>
              <w:jc w:val="center"/>
              <w:rPr>
                <w:sz w:val="48"/>
              </w:rPr>
            </w:pPr>
            <w:r w:rsidRPr="00226F8D">
              <w:rPr>
                <w:i/>
                <w:sz w:val="36"/>
                <w:szCs w:val="36"/>
              </w:rPr>
              <w:t>House-only article</w:t>
            </w:r>
          </w:p>
        </w:tc>
        <w:tc>
          <w:tcPr>
            <w:tcW w:w="7027" w:type="dxa"/>
          </w:tcPr>
          <w:p w:rsidR="008D0C57" w:rsidRDefault="00BA335F" w:rsidP="002D1426">
            <w:pPr>
              <w:tabs>
                <w:tab w:val="left" w:pos="0"/>
                <w:tab w:val="left" w:pos="1980"/>
                <w:tab w:val="left" w:pos="2340"/>
                <w:tab w:val="left" w:pos="2700"/>
                <w:tab w:val="left" w:pos="3060"/>
              </w:tabs>
              <w:spacing w:after="100" w:afterAutospacing="1"/>
              <w:ind w:right="360"/>
              <w:jc w:val="center"/>
              <w:rPr>
                <w:sz w:val="48"/>
              </w:rPr>
            </w:pPr>
            <w:r w:rsidRPr="00BA335F">
              <w:rPr>
                <w:sz w:val="48"/>
              </w:rPr>
              <w:t>Article 9: Nursing Facility Technical Corrections</w:t>
            </w:r>
          </w:p>
        </w:tc>
      </w:tr>
    </w:tbl>
    <w:p w:rsidR="008D0C57" w:rsidRDefault="008D0C57" w:rsidP="008D0C57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spacing w:after="0"/>
        <w:ind w:right="360"/>
      </w:pPr>
    </w:p>
    <w:p w:rsidR="00965FC5" w:rsidRDefault="00965FC5" w:rsidP="008D0C57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spacing w:after="0"/>
        <w:ind w:right="360"/>
      </w:pPr>
    </w:p>
    <w:p w:rsidR="008D0C57" w:rsidRDefault="008D0C57" w:rsidP="008D0C57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spacing w:after="0"/>
        <w:ind w:right="360"/>
        <w:jc w:val="center"/>
      </w:pPr>
      <w:r>
        <w:t>Prepared by:</w:t>
      </w:r>
    </w:p>
    <w:p w:rsidR="008D0C57" w:rsidRDefault="008D0C57" w:rsidP="008D0C57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right="360"/>
        <w:jc w:val="center"/>
      </w:pPr>
      <w:r>
        <w:t>House Research and Senate Counsel, Research and Fiscal Analysis</w:t>
      </w:r>
    </w:p>
    <w:p w:rsidR="008D0C57" w:rsidRDefault="00CB0CE3" w:rsidP="008D0C57">
      <w:pPr>
        <w:jc w:val="center"/>
      </w:pPr>
      <w:r>
        <w:t>April 12, 2017</w:t>
      </w:r>
    </w:p>
    <w:p w:rsidR="00965FC5" w:rsidRDefault="00965FC5" w:rsidP="00965FC5"/>
    <w:p w:rsidR="00965FC5" w:rsidRDefault="00FD725C" w:rsidP="00CB0CE3">
      <w:pPr>
        <w:jc w:val="center"/>
      </w:pPr>
      <w:r>
        <w:fldChar w:fldCharType="begin"/>
      </w:r>
      <w:r>
        <w:instrText xml:space="preserve"> FILENAME  \* Lower \p  \* MERGEFORMAT </w:instrText>
      </w:r>
      <w:r>
        <w:fldChar w:fldCharType="separate"/>
      </w:r>
      <w:r w:rsidR="00CB0CE3">
        <w:rPr>
          <w:noProof/>
        </w:rPr>
        <w:t>h:\groups\hhsteam\2017\s.f. 800 comparison\article 9 (house) - nf technical.docx</w:t>
      </w:r>
      <w:r>
        <w:rPr>
          <w:noProof/>
        </w:rPr>
        <w:fldChar w:fldCharType="end"/>
      </w:r>
    </w:p>
    <w:p w:rsidR="00965FC5" w:rsidRDefault="00965FC5" w:rsidP="00965FC5">
      <w:pPr>
        <w:rPr>
          <w:b/>
        </w:rPr>
      </w:pPr>
    </w:p>
    <w:p w:rsidR="008D0C57" w:rsidRDefault="008D0C57">
      <w:pPr>
        <w:rPr>
          <w:b/>
        </w:rPr>
      </w:pPr>
    </w:p>
    <w:p w:rsidR="008D0C57" w:rsidRDefault="008D0C57" w:rsidP="008D0C57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spacing w:after="0"/>
        <w:ind w:left="2880" w:right="2880"/>
        <w:jc w:val="center"/>
        <w:rPr>
          <w:sz w:val="22"/>
        </w:rPr>
      </w:pPr>
      <w:r>
        <w:rPr>
          <w:sz w:val="22"/>
        </w:rPr>
        <w:t xml:space="preserve">This publication can be made available in alternative format upon request.  </w:t>
      </w:r>
    </w:p>
    <w:p w:rsidR="008D0C57" w:rsidRDefault="008D0C57" w:rsidP="008D0C57">
      <w:pPr>
        <w:tabs>
          <w:tab w:val="left" w:pos="0"/>
          <w:tab w:val="left" w:pos="1980"/>
          <w:tab w:val="left" w:pos="2340"/>
          <w:tab w:val="left" w:pos="2700"/>
          <w:tab w:val="left" w:pos="3060"/>
        </w:tabs>
        <w:ind w:left="2880" w:right="2880"/>
        <w:jc w:val="center"/>
        <w:rPr>
          <w:sz w:val="22"/>
        </w:rPr>
      </w:pPr>
      <w:r>
        <w:rPr>
          <w:sz w:val="22"/>
        </w:rPr>
        <w:t>Please call 651-296-6753 (voice); or the Minnesota State Relay Service at 1-800-627-3529 (TTY) for assistance.</w:t>
      </w:r>
    </w:p>
    <w:p w:rsidR="008D0C57" w:rsidRDefault="008D0C57">
      <w:pPr>
        <w:rPr>
          <w:b/>
        </w:rPr>
      </w:pPr>
    </w:p>
    <w:p w:rsidR="0022436D" w:rsidRDefault="0022436D">
      <w:pPr>
        <w:rPr>
          <w:b/>
        </w:rPr>
      </w:pPr>
      <w:r>
        <w:rPr>
          <w:b/>
        </w:rPr>
        <w:br w:type="page"/>
      </w:r>
    </w:p>
    <w:tbl>
      <w:tblPr>
        <w:tblW w:w="18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210"/>
        <w:gridCol w:w="5760"/>
        <w:gridCol w:w="6102"/>
      </w:tblGrid>
      <w:tr w:rsidR="006178AF" w:rsidRPr="0022436D" w:rsidTr="006178AF">
        <w:trPr>
          <w:tblHeader/>
          <w:jc w:val="center"/>
        </w:trPr>
        <w:tc>
          <w:tcPr>
            <w:tcW w:w="621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178AF" w:rsidRPr="0022436D" w:rsidRDefault="006178AF" w:rsidP="00057FAA">
            <w:pPr>
              <w:pStyle w:val="Heading1"/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178AF" w:rsidRPr="00445731" w:rsidRDefault="006178AF" w:rsidP="00057FAA">
            <w:pPr>
              <w:pStyle w:val="Sectionnumber"/>
              <w:numPr>
                <w:ilvl w:val="0"/>
                <w:numId w:val="0"/>
              </w:numPr>
              <w:spacing w:before="120" w:beforeAutospacing="0" w:after="120" w:afterAutospacing="0"/>
              <w:rPr>
                <w:b w:val="0"/>
                <w:bCs/>
                <w:szCs w:val="24"/>
              </w:rPr>
            </w:pPr>
          </w:p>
        </w:tc>
        <w:tc>
          <w:tcPr>
            <w:tcW w:w="610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178AF" w:rsidRPr="0022436D" w:rsidRDefault="006178AF" w:rsidP="006178AF">
            <w:pPr>
              <w:pStyle w:val="Sectionnumber"/>
              <w:numPr>
                <w:ilvl w:val="0"/>
                <w:numId w:val="0"/>
              </w:numPr>
              <w:spacing w:before="120" w:beforeAutospacing="0" w:after="120" w:afterAutospacing="0"/>
              <w:jc w:val="center"/>
              <w:rPr>
                <w:bCs/>
                <w:szCs w:val="24"/>
              </w:rPr>
            </w:pPr>
            <w:r w:rsidRPr="0022436D">
              <w:rPr>
                <w:bCs/>
                <w:szCs w:val="24"/>
              </w:rPr>
              <w:t xml:space="preserve">Article </w:t>
            </w:r>
            <w:r>
              <w:rPr>
                <w:bCs/>
                <w:szCs w:val="24"/>
              </w:rPr>
              <w:t>9: Nursing Facility Technical Corrections</w:t>
            </w:r>
          </w:p>
        </w:tc>
      </w:tr>
      <w:tr w:rsidR="006178AF" w:rsidRPr="0022436D" w:rsidTr="006178AF">
        <w:trPr>
          <w:trHeight w:val="70"/>
          <w:jc w:val="center"/>
        </w:trPr>
        <w:tc>
          <w:tcPr>
            <w:tcW w:w="6210" w:type="dxa"/>
            <w:shd w:val="clear" w:color="auto" w:fill="auto"/>
          </w:tcPr>
          <w:p w:rsidR="006178AF" w:rsidRPr="0022436D" w:rsidRDefault="006178AF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6178AF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6178AF" w:rsidRPr="00637BDA" w:rsidRDefault="00637BDA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1.  Resident reimbursement classifications.  </w:t>
            </w:r>
            <w:r>
              <w:rPr>
                <w:b w:val="0"/>
                <w:bCs/>
                <w:szCs w:val="24"/>
              </w:rPr>
              <w:t>Amends § 144.0722, subd. 1.  Corrects an obsolete cross-reference.</w:t>
            </w:r>
          </w:p>
        </w:tc>
      </w:tr>
      <w:tr w:rsidR="006178AF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6178AF" w:rsidRPr="0022436D" w:rsidRDefault="006178AF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6178AF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6178AF" w:rsidRPr="00637BDA" w:rsidRDefault="00637BDA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2.  Resident reimbursement case mix classifications.  </w:t>
            </w:r>
            <w:r>
              <w:rPr>
                <w:b w:val="0"/>
                <w:bCs/>
                <w:szCs w:val="24"/>
              </w:rPr>
              <w:t>Amends § 144.0724, subd. 1.  Corrects an obsolete cross-reference.</w:t>
            </w:r>
          </w:p>
        </w:tc>
      </w:tr>
      <w:tr w:rsidR="006178AF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6178AF" w:rsidRPr="0022436D" w:rsidRDefault="006178AF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6178AF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6178AF" w:rsidRPr="00637BDA" w:rsidRDefault="00637BDA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3.  Definitions.  </w:t>
            </w:r>
            <w:r>
              <w:rPr>
                <w:b w:val="0"/>
                <w:bCs/>
                <w:szCs w:val="24"/>
              </w:rPr>
              <w:t>Amends § 144.0724, subd. 2.  Corrects an obsolete cross-reference.</w:t>
            </w:r>
          </w:p>
        </w:tc>
      </w:tr>
      <w:tr w:rsidR="006178AF" w:rsidRPr="0022436D" w:rsidTr="006178AF">
        <w:trPr>
          <w:trHeight w:val="233"/>
          <w:jc w:val="center"/>
        </w:trPr>
        <w:tc>
          <w:tcPr>
            <w:tcW w:w="6210" w:type="dxa"/>
            <w:shd w:val="clear" w:color="auto" w:fill="auto"/>
          </w:tcPr>
          <w:p w:rsidR="006178AF" w:rsidRPr="0022436D" w:rsidRDefault="006178AF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6178AF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6178AF" w:rsidRPr="00637BDA" w:rsidRDefault="00637BDA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4.  Audit authority.  </w:t>
            </w:r>
            <w:r>
              <w:rPr>
                <w:b w:val="0"/>
                <w:bCs/>
                <w:szCs w:val="24"/>
              </w:rPr>
              <w:t xml:space="preserve">Amends § 144.0724, subd. 9.  Corrects an obsolete cross-reference. </w:t>
            </w:r>
          </w:p>
        </w:tc>
      </w:tr>
      <w:tr w:rsidR="006178AF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6178AF" w:rsidRPr="0022436D" w:rsidRDefault="006178AF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6178AF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6178AF" w:rsidRPr="00637BDA" w:rsidRDefault="00637BDA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5.  Exceptions authorizing increase in beds; hardship areas.  </w:t>
            </w:r>
            <w:r>
              <w:rPr>
                <w:b w:val="0"/>
                <w:bCs/>
                <w:szCs w:val="24"/>
              </w:rPr>
              <w:t>Amends § 144A.071, subd. 3.  Corrects obsolete cross-references and corrects terminology.</w:t>
            </w:r>
          </w:p>
        </w:tc>
      </w:tr>
      <w:tr w:rsidR="00637BDA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637BDA" w:rsidRPr="0022436D" w:rsidRDefault="00637BDA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637BDA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637BDA" w:rsidRPr="00637BDA" w:rsidRDefault="00637BDA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6.  Exceptions for replacement beds.  </w:t>
            </w:r>
            <w:r>
              <w:rPr>
                <w:b w:val="0"/>
                <w:bCs/>
                <w:szCs w:val="24"/>
              </w:rPr>
              <w:t>Amends § 144A.071, subd. 4a. Corrects obsolete cross-references.</w:t>
            </w:r>
          </w:p>
        </w:tc>
      </w:tr>
      <w:tr w:rsidR="00637BDA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637BDA" w:rsidRPr="0022436D" w:rsidRDefault="00637BDA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637BDA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637BDA" w:rsidRPr="00637BDA" w:rsidRDefault="00637BDA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7.  Exceptions for replacement beds after June 30, 2003.  </w:t>
            </w:r>
            <w:r>
              <w:rPr>
                <w:b w:val="0"/>
                <w:bCs/>
                <w:szCs w:val="24"/>
              </w:rPr>
              <w:t>Amends § 144A.071, subd. 4c. Corrects obsolete cross-references.</w:t>
            </w:r>
          </w:p>
        </w:tc>
      </w:tr>
      <w:tr w:rsidR="00637BDA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637BDA" w:rsidRPr="0022436D" w:rsidRDefault="00637BDA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637BDA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637BDA" w:rsidRPr="00637BDA" w:rsidRDefault="00637BDA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9.  Cost neutral relocation projects.  </w:t>
            </w:r>
            <w:r>
              <w:rPr>
                <w:b w:val="0"/>
                <w:bCs/>
                <w:szCs w:val="24"/>
              </w:rPr>
              <w:t>Amends § 144A.073, subd. 3c. Corrects an obsolete cross-reference.</w:t>
            </w:r>
          </w:p>
        </w:tc>
      </w:tr>
      <w:tr w:rsidR="00637BDA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637BDA" w:rsidRPr="0022436D" w:rsidRDefault="00637BDA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637BDA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637BDA" w:rsidRPr="00637BDA" w:rsidRDefault="00637BDA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10.  Correction orders.  </w:t>
            </w:r>
            <w:r>
              <w:rPr>
                <w:b w:val="0"/>
                <w:bCs/>
                <w:szCs w:val="24"/>
              </w:rPr>
              <w:t>Amends § 144A.10, subd. 4.  Removes obsolete language.</w:t>
            </w:r>
          </w:p>
        </w:tc>
      </w:tr>
      <w:tr w:rsidR="00637BDA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637BDA" w:rsidRPr="0022436D" w:rsidRDefault="00637BDA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637BDA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637BDA" w:rsidRPr="00637BDA" w:rsidRDefault="00637BDA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11.  Appointment of receiver, rental.  </w:t>
            </w:r>
            <w:r>
              <w:rPr>
                <w:b w:val="0"/>
                <w:bCs/>
                <w:szCs w:val="24"/>
              </w:rPr>
              <w:t>Amends § 144A.15, subd. 2.  Corrects an obsolete cross-reference.</w:t>
            </w:r>
          </w:p>
        </w:tc>
      </w:tr>
      <w:tr w:rsidR="001E6F41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1E6F41" w:rsidRPr="0022436D" w:rsidRDefault="001E6F41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1E6F41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1E6F41" w:rsidRPr="001E6F4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12.  Rate recommendation.  </w:t>
            </w:r>
            <w:r>
              <w:rPr>
                <w:b w:val="0"/>
                <w:bCs/>
                <w:szCs w:val="24"/>
              </w:rPr>
              <w:t xml:space="preserve">Amends § 144A.154.  Corrects an obsolete cross-reference.  </w:t>
            </w:r>
          </w:p>
        </w:tc>
      </w:tr>
      <w:tr w:rsidR="001E6F41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1E6F41" w:rsidRPr="0022436D" w:rsidRDefault="001E6F41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1E6F41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1E6F41" w:rsidRPr="001E6F41" w:rsidRDefault="0044573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</w:t>
            </w:r>
            <w:r w:rsidR="001E6F41">
              <w:rPr>
                <w:bCs/>
                <w:szCs w:val="24"/>
              </w:rPr>
              <w:t xml:space="preserve">13.  Facility closure rate adjustment.  </w:t>
            </w:r>
            <w:r w:rsidR="001E6F41">
              <w:rPr>
                <w:b w:val="0"/>
                <w:bCs/>
                <w:szCs w:val="24"/>
              </w:rPr>
              <w:t>Amends § 144A.161, subd. 10.  Corrects an obsolete cross-reference.</w:t>
            </w:r>
          </w:p>
        </w:tc>
      </w:tr>
      <w:tr w:rsidR="001E6F41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1E6F41" w:rsidRPr="0022436D" w:rsidRDefault="001E6F41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1E6F41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1E6F41" w:rsidRPr="001E6F41" w:rsidRDefault="0044573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</w:t>
            </w:r>
            <w:r w:rsidR="001E6F41">
              <w:rPr>
                <w:bCs/>
                <w:szCs w:val="24"/>
              </w:rPr>
              <w:t xml:space="preserve">14. Reuse of facilities.  </w:t>
            </w:r>
            <w:r w:rsidR="001E6F41">
              <w:rPr>
                <w:b w:val="0"/>
                <w:bCs/>
                <w:szCs w:val="24"/>
              </w:rPr>
              <w:t>Amends § 144A.1888. Corrects an obsolete cross-reference.</w:t>
            </w:r>
          </w:p>
        </w:tc>
      </w:tr>
      <w:tr w:rsidR="001E6F41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1E6F41" w:rsidRPr="0022436D" w:rsidRDefault="001E6F41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1E6F41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1E6F41" w:rsidRPr="001E6F41" w:rsidRDefault="0044573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</w:t>
            </w:r>
            <w:r w:rsidR="001E6F41">
              <w:rPr>
                <w:bCs/>
                <w:szCs w:val="24"/>
              </w:rPr>
              <w:t xml:space="preserve">15.  Nursing homes and certified boarding care homes.  </w:t>
            </w:r>
            <w:r w:rsidR="001E6F41">
              <w:rPr>
                <w:b w:val="0"/>
                <w:bCs/>
                <w:szCs w:val="24"/>
              </w:rPr>
              <w:t>Amends § 144A.611, subd. 1.  Corrects an obsolete cross-reference.</w:t>
            </w:r>
          </w:p>
        </w:tc>
      </w:tr>
      <w:tr w:rsidR="001E6F41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1E6F41" w:rsidRPr="0022436D" w:rsidRDefault="001E6F41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1E6F41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1E6F41" w:rsidRPr="001E6F41" w:rsidRDefault="0044573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</w:t>
            </w:r>
            <w:r w:rsidR="001E6F41">
              <w:rPr>
                <w:bCs/>
                <w:szCs w:val="24"/>
              </w:rPr>
              <w:t xml:space="preserve">16.  Maximum charges.  </w:t>
            </w:r>
            <w:r w:rsidR="001E6F41">
              <w:rPr>
                <w:b w:val="0"/>
                <w:bCs/>
                <w:szCs w:val="24"/>
              </w:rPr>
              <w:t>Amends § 144A.74.  Corrects an obsolete cross-reference.</w:t>
            </w:r>
          </w:p>
        </w:tc>
      </w:tr>
      <w:tr w:rsidR="001E6F41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1E6F41" w:rsidRPr="0022436D" w:rsidRDefault="001E6F41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1E6F41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1E6F41" w:rsidRPr="001E6F41" w:rsidRDefault="0044573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</w:t>
            </w:r>
            <w:r w:rsidR="001E6F41">
              <w:rPr>
                <w:bCs/>
                <w:szCs w:val="24"/>
              </w:rPr>
              <w:t xml:space="preserve">17.  Nursing home license surcharge.  </w:t>
            </w:r>
            <w:r w:rsidR="001E6F41">
              <w:rPr>
                <w:b w:val="0"/>
                <w:bCs/>
                <w:szCs w:val="24"/>
              </w:rPr>
              <w:t>Amends § 256.9657, subd. 1.  Removes obsolete language.</w:t>
            </w:r>
          </w:p>
        </w:tc>
      </w:tr>
      <w:tr w:rsidR="001E6F41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1E6F41" w:rsidRPr="0022436D" w:rsidRDefault="001E6F41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1E6F41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1E6F41" w:rsidRPr="001E6F41" w:rsidRDefault="0044573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</w:t>
            </w:r>
            <w:r w:rsidR="001E6F41">
              <w:rPr>
                <w:bCs/>
                <w:szCs w:val="24"/>
              </w:rPr>
              <w:t xml:space="preserve">19.  Field audits required.  </w:t>
            </w:r>
            <w:r w:rsidR="001E6F41">
              <w:rPr>
                <w:b w:val="0"/>
                <w:bCs/>
                <w:szCs w:val="24"/>
              </w:rPr>
              <w:t>Amends § 256B.35, subd. 4.  Corrects an obsolete cross-reference.</w:t>
            </w:r>
          </w:p>
        </w:tc>
      </w:tr>
      <w:tr w:rsidR="001E6F41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1E6F41" w:rsidRPr="0022436D" w:rsidRDefault="001E6F41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1E6F41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1E6F41" w:rsidRPr="001E6F41" w:rsidRDefault="00445731" w:rsidP="001E6F41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</w:t>
            </w:r>
            <w:r w:rsidR="001E6F41">
              <w:rPr>
                <w:bCs/>
                <w:szCs w:val="24"/>
              </w:rPr>
              <w:t xml:space="preserve">20.  Bed layaway and delicensure.  </w:t>
            </w:r>
            <w:r w:rsidR="001E6F41">
              <w:rPr>
                <w:b w:val="0"/>
                <w:bCs/>
                <w:szCs w:val="24"/>
              </w:rPr>
              <w:t>Amends § 256B.431, subd. 30.  Corrects obsolete cross-references and adds references to the new nursing facility rates chapter of statutes, chapter 256R.</w:t>
            </w:r>
          </w:p>
        </w:tc>
      </w:tr>
      <w:tr w:rsidR="001E6F41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1E6F41" w:rsidRPr="0022436D" w:rsidRDefault="001E6F41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1E6F41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1E6F41" w:rsidRPr="001E6F41" w:rsidRDefault="0044573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</w:t>
            </w:r>
            <w:r w:rsidR="001E6F41">
              <w:rPr>
                <w:bCs/>
                <w:szCs w:val="24"/>
              </w:rPr>
              <w:t xml:space="preserve">21.  Scope.  </w:t>
            </w:r>
            <w:r w:rsidR="001E6F41">
              <w:rPr>
                <w:b w:val="0"/>
                <w:bCs/>
                <w:szCs w:val="24"/>
              </w:rPr>
              <w:t>Amends § 256B.50, subd. 1.  Corrects obsolete cross-references.</w:t>
            </w:r>
          </w:p>
        </w:tc>
      </w:tr>
      <w:tr w:rsidR="001E6F41" w:rsidRPr="0022436D" w:rsidTr="006178AF">
        <w:trPr>
          <w:jc w:val="center"/>
        </w:trPr>
        <w:tc>
          <w:tcPr>
            <w:tcW w:w="6210" w:type="dxa"/>
            <w:shd w:val="clear" w:color="auto" w:fill="auto"/>
          </w:tcPr>
          <w:p w:rsidR="001E6F41" w:rsidRPr="0022436D" w:rsidRDefault="001E6F41" w:rsidP="006178AF">
            <w:pPr>
              <w:pStyle w:val="Heading1"/>
              <w:spacing w:before="100" w:beforeAutospacing="1" w:after="120"/>
              <w:rPr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1E6F41" w:rsidRPr="00445731" w:rsidRDefault="001E6F4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 w:rsidRPr="00445731">
              <w:rPr>
                <w:b w:val="0"/>
                <w:bCs/>
                <w:szCs w:val="24"/>
              </w:rPr>
              <w:t>House only</w:t>
            </w:r>
          </w:p>
        </w:tc>
        <w:tc>
          <w:tcPr>
            <w:tcW w:w="6102" w:type="dxa"/>
            <w:shd w:val="clear" w:color="auto" w:fill="auto"/>
          </w:tcPr>
          <w:p w:rsidR="001E6F41" w:rsidRPr="001E6F41" w:rsidRDefault="00445731" w:rsidP="006178AF">
            <w:pPr>
              <w:pStyle w:val="Sectionnumber"/>
              <w:numPr>
                <w:ilvl w:val="0"/>
                <w:numId w:val="0"/>
              </w:numPr>
              <w:spacing w:after="120" w:afterAutospacing="0"/>
              <w:rPr>
                <w:b w:val="0"/>
                <w:bCs/>
                <w:szCs w:val="24"/>
              </w:rPr>
            </w:pPr>
            <w:r>
              <w:rPr>
                <w:bCs/>
                <w:szCs w:val="24"/>
              </w:rPr>
              <w:t xml:space="preserve">Sec. </w:t>
            </w:r>
            <w:r w:rsidR="001E6F41">
              <w:rPr>
                <w:bCs/>
                <w:szCs w:val="24"/>
              </w:rPr>
              <w:t xml:space="preserve">22.  Effective date.  </w:t>
            </w:r>
            <w:r w:rsidR="001E6F41">
              <w:rPr>
                <w:b w:val="0"/>
                <w:bCs/>
                <w:szCs w:val="24"/>
              </w:rPr>
              <w:t>Makes sections 1 to 21 effective the day following final enactment.</w:t>
            </w:r>
          </w:p>
        </w:tc>
      </w:tr>
    </w:tbl>
    <w:p w:rsidR="00F417BC" w:rsidRPr="00827C84" w:rsidRDefault="00F417BC" w:rsidP="00EF43DC"/>
    <w:sectPr w:rsidR="00F417BC" w:rsidRPr="00827C84" w:rsidSect="0022436D">
      <w:headerReference w:type="default" r:id="rId8"/>
      <w:pgSz w:w="20160" w:h="12240" w:orient="landscape" w:code="5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995" w:rsidRPr="0022436D" w:rsidRDefault="00FE4995" w:rsidP="0022436D">
      <w:pPr>
        <w:pStyle w:val="Sectionnumber"/>
        <w:spacing w:before="0" w:after="0"/>
        <w:rPr>
          <w:b w:val="0"/>
        </w:rPr>
      </w:pPr>
      <w:r>
        <w:separator/>
      </w:r>
    </w:p>
  </w:endnote>
  <w:endnote w:type="continuationSeparator" w:id="0">
    <w:p w:rsidR="00FE4995" w:rsidRPr="0022436D" w:rsidRDefault="00FE4995" w:rsidP="0022436D">
      <w:pPr>
        <w:pStyle w:val="Sectionnumber"/>
        <w:spacing w:before="0" w:after="0"/>
        <w:rPr>
          <w:b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995" w:rsidRPr="0022436D" w:rsidRDefault="00FE4995" w:rsidP="0022436D">
      <w:pPr>
        <w:pStyle w:val="Sectionnumber"/>
        <w:spacing w:before="0" w:after="0"/>
        <w:rPr>
          <w:b w:val="0"/>
        </w:rPr>
      </w:pPr>
      <w:r>
        <w:separator/>
      </w:r>
    </w:p>
  </w:footnote>
  <w:footnote w:type="continuationSeparator" w:id="0">
    <w:p w:rsidR="00FE4995" w:rsidRPr="0022436D" w:rsidRDefault="00FE4995" w:rsidP="0022436D">
      <w:pPr>
        <w:pStyle w:val="Sectionnumber"/>
        <w:spacing w:before="0" w:after="0"/>
        <w:rPr>
          <w:b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36D" w:rsidRDefault="0022436D" w:rsidP="006178AF">
    <w:pPr>
      <w:pStyle w:val="Header"/>
      <w:tabs>
        <w:tab w:val="right" w:pos="18360"/>
      </w:tabs>
      <w:ind w:left="360"/>
      <w:rPr>
        <w:sz w:val="20"/>
      </w:rPr>
    </w:pPr>
    <w:r>
      <w:rPr>
        <w:sz w:val="20"/>
      </w:rPr>
      <w:t xml:space="preserve">Bill Summary Comparison of </w:t>
    </w:r>
    <w:r w:rsidR="00057FAA">
      <w:rPr>
        <w:sz w:val="20"/>
      </w:rPr>
      <w:t>Senate File 800-3/House File UES0800-2</w:t>
    </w:r>
    <w:r>
      <w:rPr>
        <w:sz w:val="20"/>
      </w:rPr>
      <w:tab/>
    </w:r>
    <w:r>
      <w:rPr>
        <w:sz w:val="20"/>
      </w:rPr>
      <w:tab/>
    </w:r>
    <w:r w:rsidR="006178AF">
      <w:rPr>
        <w:sz w:val="20"/>
      </w:rPr>
      <w:t>April 12, 2017</w:t>
    </w:r>
  </w:p>
  <w:p w:rsidR="0022436D" w:rsidRDefault="0022436D" w:rsidP="006178AF">
    <w:pPr>
      <w:pStyle w:val="Header"/>
      <w:tabs>
        <w:tab w:val="clear" w:pos="4680"/>
        <w:tab w:val="left" w:pos="3600"/>
        <w:tab w:val="right" w:pos="18360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Page </w:t>
    </w:r>
    <w:r w:rsidR="00125680"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 w:rsidR="00125680">
      <w:rPr>
        <w:sz w:val="20"/>
      </w:rPr>
      <w:fldChar w:fldCharType="separate"/>
    </w:r>
    <w:r w:rsidR="00FD725C">
      <w:rPr>
        <w:noProof/>
        <w:sz w:val="20"/>
      </w:rPr>
      <w:t>2</w:t>
    </w:r>
    <w:r w:rsidR="00125680">
      <w:rPr>
        <w:sz w:val="20"/>
      </w:rPr>
      <w:fldChar w:fldCharType="end"/>
    </w:r>
  </w:p>
  <w:p w:rsidR="009C784A" w:rsidRDefault="009C784A" w:rsidP="0022436D">
    <w:pPr>
      <w:pStyle w:val="Header"/>
      <w:tabs>
        <w:tab w:val="clear" w:pos="4680"/>
        <w:tab w:val="left" w:pos="3600"/>
        <w:tab w:val="right" w:pos="18720"/>
      </w:tabs>
      <w:rPr>
        <w:sz w:val="20"/>
      </w:rPr>
    </w:pPr>
  </w:p>
  <w:p w:rsidR="0022436D" w:rsidRPr="0022436D" w:rsidRDefault="0022436D" w:rsidP="006178AF">
    <w:pPr>
      <w:pStyle w:val="Header"/>
      <w:tabs>
        <w:tab w:val="clear" w:pos="4680"/>
        <w:tab w:val="left" w:pos="3060"/>
        <w:tab w:val="left" w:pos="15030"/>
        <w:tab w:val="left" w:pos="15480"/>
        <w:tab w:val="right" w:pos="18720"/>
      </w:tabs>
      <w:spacing w:after="120"/>
      <w:rPr>
        <w:szCs w:val="24"/>
      </w:rPr>
    </w:pPr>
    <w:r>
      <w:rPr>
        <w:sz w:val="20"/>
      </w:rPr>
      <w:tab/>
    </w:r>
    <w:r w:rsidR="006178AF">
      <w:rPr>
        <w:szCs w:val="24"/>
      </w:rPr>
      <w:t>SENATE</w:t>
    </w:r>
    <w:r w:rsidRPr="0022436D">
      <w:rPr>
        <w:szCs w:val="24"/>
      </w:rPr>
      <w:tab/>
    </w:r>
    <w:r w:rsidRPr="0022436D">
      <w:rPr>
        <w:szCs w:val="24"/>
      </w:rPr>
      <w:tab/>
    </w:r>
    <w:r w:rsidR="006178AF">
      <w:rPr>
        <w:szCs w:val="24"/>
      </w:rPr>
      <w:t>HOUSE</w:t>
    </w:r>
    <w:r w:rsidRPr="0022436D">
      <w:rPr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06A"/>
    <w:multiLevelType w:val="hybridMultilevel"/>
    <w:tmpl w:val="33325918"/>
    <w:lvl w:ilvl="0" w:tplc="52E22E6C">
      <w:start w:val="1"/>
      <w:numFmt w:val="decimal"/>
      <w:lvlRestart w:val="0"/>
      <w:pStyle w:val="Sectionnumber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AC6F00"/>
    <w:multiLevelType w:val="hybridMultilevel"/>
    <w:tmpl w:val="2BE2F592"/>
    <w:lvl w:ilvl="0" w:tplc="D03661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5F"/>
    <w:rsid w:val="00057FAA"/>
    <w:rsid w:val="00081FBF"/>
    <w:rsid w:val="00125680"/>
    <w:rsid w:val="001C72E0"/>
    <w:rsid w:val="001E6F41"/>
    <w:rsid w:val="001F5096"/>
    <w:rsid w:val="0022436D"/>
    <w:rsid w:val="002A4FC7"/>
    <w:rsid w:val="002C048E"/>
    <w:rsid w:val="002C486D"/>
    <w:rsid w:val="00367738"/>
    <w:rsid w:val="00373772"/>
    <w:rsid w:val="00382B93"/>
    <w:rsid w:val="00427695"/>
    <w:rsid w:val="00445731"/>
    <w:rsid w:val="004B4131"/>
    <w:rsid w:val="004F5222"/>
    <w:rsid w:val="006178AF"/>
    <w:rsid w:val="00637BDA"/>
    <w:rsid w:val="00697AE4"/>
    <w:rsid w:val="0072683D"/>
    <w:rsid w:val="007836EF"/>
    <w:rsid w:val="00787E77"/>
    <w:rsid w:val="007C738B"/>
    <w:rsid w:val="007E120B"/>
    <w:rsid w:val="00803A62"/>
    <w:rsid w:val="00827C84"/>
    <w:rsid w:val="008C7930"/>
    <w:rsid w:val="008D0C57"/>
    <w:rsid w:val="008D3311"/>
    <w:rsid w:val="009122CA"/>
    <w:rsid w:val="00923C58"/>
    <w:rsid w:val="0095325A"/>
    <w:rsid w:val="00965FC5"/>
    <w:rsid w:val="009C784A"/>
    <w:rsid w:val="00A67E95"/>
    <w:rsid w:val="00B23963"/>
    <w:rsid w:val="00B52998"/>
    <w:rsid w:val="00BA335F"/>
    <w:rsid w:val="00BC1665"/>
    <w:rsid w:val="00CB0CE3"/>
    <w:rsid w:val="00CE1714"/>
    <w:rsid w:val="00D0088B"/>
    <w:rsid w:val="00D2127E"/>
    <w:rsid w:val="00D256C0"/>
    <w:rsid w:val="00D421EA"/>
    <w:rsid w:val="00DB2F7E"/>
    <w:rsid w:val="00E128AC"/>
    <w:rsid w:val="00ED0C0E"/>
    <w:rsid w:val="00EF43DC"/>
    <w:rsid w:val="00EF5B38"/>
    <w:rsid w:val="00F24F97"/>
    <w:rsid w:val="00F417BC"/>
    <w:rsid w:val="00F5202C"/>
    <w:rsid w:val="00FB0969"/>
    <w:rsid w:val="00FD725C"/>
    <w:rsid w:val="00F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0928D-E2B5-4185-8535-459AEEAE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36D"/>
    <w:pPr>
      <w:spacing w:after="120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382B93"/>
    <w:pPr>
      <w:keepNext/>
      <w:spacing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E77"/>
    <w:pPr>
      <w:keepNext/>
      <w:spacing w:after="24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B93"/>
    <w:pPr>
      <w:keepNext/>
      <w:spacing w:after="240"/>
      <w:outlineLvl w:val="2"/>
    </w:pPr>
    <w:rPr>
      <w:b/>
    </w:rPr>
  </w:style>
  <w:style w:type="paragraph" w:styleId="Heading4">
    <w:name w:val="heading 4"/>
    <w:aliases w:val="footnote"/>
    <w:basedOn w:val="FootnoteText"/>
    <w:next w:val="Normal"/>
    <w:link w:val="Heading4Char"/>
    <w:uiPriority w:val="9"/>
    <w:unhideWhenUsed/>
    <w:qFormat/>
    <w:rsid w:val="00ED0C0E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93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E77"/>
    <w:rPr>
      <w:rFonts w:ascii="Times New Roman" w:hAnsi="Times New Roman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2B93"/>
    <w:rPr>
      <w:rFonts w:ascii="Times New Roman" w:hAnsi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6EF"/>
    <w:pPr>
      <w:ind w:firstLine="43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6EF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C738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38B"/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aliases w:val="footnote Char"/>
    <w:basedOn w:val="DefaultParagraphFont"/>
    <w:link w:val="Heading4"/>
    <w:uiPriority w:val="9"/>
    <w:rsid w:val="00ED0C0E"/>
  </w:style>
  <w:style w:type="table" w:styleId="TableGrid">
    <w:name w:val="Table Grid"/>
    <w:basedOn w:val="TableNormal"/>
    <w:uiPriority w:val="59"/>
    <w:rsid w:val="002243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ctionnumber">
    <w:name w:val="Section number"/>
    <w:basedOn w:val="Normal"/>
    <w:rsid w:val="0022436D"/>
    <w:pPr>
      <w:numPr>
        <w:numId w:val="1"/>
      </w:numPr>
      <w:spacing w:before="100" w:beforeAutospacing="1" w:after="100" w:afterAutospacing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22436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436D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2436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436D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Master%20BS%20templates\HHS%20side%20by%20sid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52E42F6-AA52-481C-8091-D4042786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HHS side by side.dotm</Template>
  <TotalTime>0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GOPGuest</cp:lastModifiedBy>
  <cp:revision>2</cp:revision>
  <dcterms:created xsi:type="dcterms:W3CDTF">2017-04-18T20:34:00Z</dcterms:created>
  <dcterms:modified xsi:type="dcterms:W3CDTF">2017-04-18T20:34:00Z</dcterms:modified>
</cp:coreProperties>
</file>