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81A48">
      <w:pPr>
        <w:autoSpaceDE w:val="0"/>
        <w:autoSpaceDN w:val="0"/>
        <w:adjustRightInd w:val="0"/>
        <w:spacing w:after="0" w:line="240" w:lineRule="auto"/>
        <w:rPr>
          <w:rFonts w:ascii="Calibri" w:hAnsi="Calibri" w:cs="Calibri"/>
          <w:b/>
          <w:bCs/>
          <w:color w:val="000000"/>
          <w:sz w:val="24"/>
          <w:szCs w:val="24"/>
        </w:rPr>
      </w:pPr>
      <w:bookmarkStart w:id="0" w:name="_GoBack"/>
      <w:bookmarkEnd w:id="0"/>
      <w:r>
        <w:rPr>
          <w:rFonts w:ascii="Calibri" w:hAnsi="Calibri" w:cs="Calibri"/>
          <w:noProof/>
        </w:rPr>
        <w:drawing>
          <wp:inline distT="0" distB="0" distL="0" distR="0">
            <wp:extent cx="1750695" cy="64198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0695" cy="641985"/>
                    </a:xfrm>
                    <a:prstGeom prst="rect">
                      <a:avLst/>
                    </a:prstGeom>
                    <a:noFill/>
                    <a:ln>
                      <a:noFill/>
                    </a:ln>
                  </pic:spPr>
                </pic:pic>
              </a:graphicData>
            </a:graphic>
          </wp:inline>
        </w:drawing>
      </w:r>
      <w:r>
        <w:rPr>
          <w:rFonts w:ascii="Calibri" w:hAnsi="Calibri" w:cs="Calibri"/>
          <w:noProof/>
        </w:rPr>
        <w:drawing>
          <wp:inline distT="0" distB="0" distL="0" distR="0">
            <wp:extent cx="1741170" cy="63246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1170" cy="632460"/>
                    </a:xfrm>
                    <a:prstGeom prst="rect">
                      <a:avLst/>
                    </a:prstGeom>
                    <a:noFill/>
                    <a:ln>
                      <a:noFill/>
                    </a:ln>
                  </pic:spPr>
                </pic:pic>
              </a:graphicData>
            </a:graphic>
          </wp:inline>
        </w:drawing>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From: Minnesota Psychological Association</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To: Chair Liebling and Committee members</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Minnesota Health and Human Services Finance Committee</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June 15, 2020</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Re: SC7625-8</w:t>
      </w:r>
    </w:p>
    <w:p w:rsidR="00000000" w:rsidRDefault="00681A48">
      <w:pPr>
        <w:autoSpaceDE w:val="0"/>
        <w:autoSpaceDN w:val="0"/>
        <w:adjustRightInd w:val="0"/>
        <w:spacing w:after="0" w:line="240" w:lineRule="auto"/>
        <w:rPr>
          <w:rFonts w:ascii="Calibri" w:hAnsi="Calibri" w:cs="Calibri"/>
          <w:color w:val="000000"/>
          <w:sz w:val="24"/>
          <w:szCs w:val="24"/>
        </w:rPr>
      </w:pP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Chair Liebling and Committee Members:</w:t>
      </w:r>
    </w:p>
    <w:p w:rsidR="00000000" w:rsidRDefault="00681A48">
      <w:pPr>
        <w:autoSpaceDE w:val="0"/>
        <w:autoSpaceDN w:val="0"/>
        <w:adjustRightInd w:val="0"/>
        <w:spacing w:after="0" w:line="240" w:lineRule="auto"/>
        <w:rPr>
          <w:rFonts w:ascii="Calibri" w:hAnsi="Calibri" w:cs="Calibri"/>
          <w:color w:val="000000"/>
          <w:sz w:val="24"/>
          <w:szCs w:val="24"/>
        </w:rPr>
      </w:pPr>
    </w:p>
    <w:p w:rsidR="00000000" w:rsidRDefault="00681A48">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 xml:space="preserve">The leadership of the Minnesota Psychological Association would like to support efforts to extend waivers related to telemedicine for Minnesotans. In a recent survey of 664 Minnesota mental health providers, eighty percent of providers indicated that they </w:t>
      </w:r>
      <w:r>
        <w:rPr>
          <w:rFonts w:ascii="Calibri" w:hAnsi="Calibri" w:cs="Calibri"/>
          <w:color w:val="000000"/>
          <w:sz w:val="24"/>
          <w:szCs w:val="24"/>
        </w:rPr>
        <w:t>are currently providing a variety of telehealth services to all or almost all of their patients. Further, they indicate that 11% of clients are currently being served through audio-only telephonic services. It is crucial that these services continue in ord</w:t>
      </w:r>
      <w:r>
        <w:rPr>
          <w:rFonts w:ascii="Calibri" w:hAnsi="Calibri" w:cs="Calibri"/>
          <w:color w:val="000000"/>
          <w:sz w:val="24"/>
          <w:szCs w:val="24"/>
        </w:rPr>
        <w:t>er to maintain continuity of care with 63% of providers offering audio-only services to ongoing patients and 28% offering services to new patients. Providers resoundingly endorse that services provided by video telehealth and audio-telehealth are of the sa</w:t>
      </w:r>
      <w:r>
        <w:rPr>
          <w:rFonts w:ascii="Calibri" w:hAnsi="Calibri" w:cs="Calibri"/>
          <w:color w:val="000000"/>
          <w:sz w:val="24"/>
          <w:szCs w:val="24"/>
        </w:rPr>
        <w:t>me or better quality as in person care with 86% reporting that services were of equal or better quality for video services and 67% reporting audio services to be of the same or better quality. Seventy-two percent of these providers indicate that the use of</w:t>
      </w:r>
      <w:r>
        <w:rPr>
          <w:rFonts w:ascii="Calibri" w:hAnsi="Calibri" w:cs="Calibri"/>
          <w:color w:val="000000"/>
          <w:sz w:val="24"/>
          <w:szCs w:val="24"/>
        </w:rPr>
        <w:t xml:space="preserve"> video telehealth services expanded or greatly expanded access to care while 62% report that audio-only services had similarly expanded access to care.</w:t>
      </w:r>
    </w:p>
    <w:p w:rsidR="00000000" w:rsidRDefault="00681A48">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 xml:space="preserve">This is an extraordinarily stressful time for Minnesotans, and it is crucial that they continue to have </w:t>
      </w:r>
      <w:r>
        <w:rPr>
          <w:rFonts w:ascii="Calibri" w:hAnsi="Calibri" w:cs="Calibri"/>
          <w:color w:val="000000"/>
          <w:sz w:val="24"/>
          <w:szCs w:val="24"/>
        </w:rPr>
        <w:t>access to mental health and substance abuse services provided through telehealth. Considering a consensus of public health experts and infectious disease specialists state that COVID-19 is likely to go through several waves of infections, with subsequent i</w:t>
      </w:r>
      <w:r>
        <w:rPr>
          <w:rFonts w:ascii="Calibri" w:hAnsi="Calibri" w:cs="Calibri"/>
          <w:color w:val="000000"/>
          <w:sz w:val="24"/>
          <w:szCs w:val="24"/>
        </w:rPr>
        <w:t>ncreases in hospitalizations, it is also very likely that the individuals who need mental health services will also go through changes in their ability to engage in in-person appointments in a safe manner. Access to health and mental health services contin</w:t>
      </w:r>
      <w:r>
        <w:rPr>
          <w:rFonts w:ascii="Calibri" w:hAnsi="Calibri" w:cs="Calibri"/>
          <w:color w:val="000000"/>
          <w:sz w:val="24"/>
          <w:szCs w:val="24"/>
        </w:rPr>
        <w:t>ues to be a major problem for communities outside of the metropolitan centers. Providers have been able to expand access to care while maintaining its quality using audio and video telehealth services. Please support the continuance of these services to en</w:t>
      </w:r>
      <w:r>
        <w:rPr>
          <w:rFonts w:ascii="Calibri" w:hAnsi="Calibri" w:cs="Calibri"/>
          <w:color w:val="000000"/>
          <w:sz w:val="24"/>
          <w:szCs w:val="24"/>
        </w:rPr>
        <w:t>sure Minnesotans have access to quality mental health services.</w:t>
      </w:r>
    </w:p>
    <w:p w:rsidR="00000000" w:rsidRDefault="00681A48">
      <w:pPr>
        <w:autoSpaceDE w:val="0"/>
        <w:autoSpaceDN w:val="0"/>
        <w:adjustRightInd w:val="0"/>
        <w:spacing w:after="0" w:line="240" w:lineRule="auto"/>
        <w:ind w:firstLine="720"/>
        <w:rPr>
          <w:rFonts w:ascii="Calibri" w:hAnsi="Calibri" w:cs="Calibri"/>
          <w:color w:val="000000"/>
          <w:sz w:val="24"/>
          <w:szCs w:val="24"/>
        </w:rPr>
      </w:pP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Sincerely,</w:t>
      </w:r>
    </w:p>
    <w:p w:rsidR="00000000" w:rsidRDefault="00681A48">
      <w:pPr>
        <w:autoSpaceDE w:val="0"/>
        <w:autoSpaceDN w:val="0"/>
        <w:adjustRightInd w:val="0"/>
        <w:spacing w:after="0" w:line="240" w:lineRule="auto"/>
        <w:rPr>
          <w:rFonts w:ascii="Calibri" w:hAnsi="Calibri" w:cs="Calibri"/>
          <w:color w:val="000000"/>
          <w:sz w:val="24"/>
          <w:szCs w:val="24"/>
        </w:rPr>
      </w:pP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noProof/>
        </w:rPr>
        <w:drawing>
          <wp:inline distT="0" distB="0" distL="0" distR="0">
            <wp:extent cx="1925955" cy="437515"/>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5955" cy="437515"/>
                    </a:xfrm>
                    <a:prstGeom prst="rect">
                      <a:avLst/>
                    </a:prstGeom>
                    <a:noFill/>
                    <a:ln>
                      <a:noFill/>
                    </a:ln>
                  </pic:spPr>
                </pic:pic>
              </a:graphicData>
            </a:graphic>
          </wp:inline>
        </w:drawing>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Willie Garret, MS, LP, EdD</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President, Minnesota Psychological Association</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noProof/>
        </w:rPr>
        <w:lastRenderedPageBreak/>
        <w:drawing>
          <wp:inline distT="0" distB="0" distL="0" distR="0">
            <wp:extent cx="1673225" cy="466725"/>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3225" cy="466725"/>
                    </a:xfrm>
                    <a:prstGeom prst="rect">
                      <a:avLst/>
                    </a:prstGeom>
                    <a:noFill/>
                    <a:ln>
                      <a:noFill/>
                    </a:ln>
                  </pic:spPr>
                </pic:pic>
              </a:graphicData>
            </a:graphic>
          </wp:inline>
        </w:drawing>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Trisha Stark, PhD, LP,</w:t>
      </w:r>
      <w:r>
        <w:rPr>
          <w:rFonts w:ascii="Calibri" w:hAnsi="Calibri" w:cs="Calibri"/>
          <w:color w:val="000000"/>
          <w:sz w:val="24"/>
          <w:szCs w:val="24"/>
        </w:rPr>
        <w:t xml:space="preserve"> MPA, MJ</w:t>
      </w:r>
    </w:p>
    <w:p w:rsidR="00000000"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Federal Advocacy Coordinator and Legislative Chair</w:t>
      </w:r>
    </w:p>
    <w:p w:rsidR="00681A48" w:rsidRDefault="00681A4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Minnesota Psychological Association</w:t>
      </w:r>
    </w:p>
    <w:sectPr w:rsidR="00681A4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5F"/>
    <w:rsid w:val="00681A48"/>
    <w:rsid w:val="0071275F"/>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CE29AF-AD4A-41B4-AE2E-BD4DAD0A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dcterms:created xsi:type="dcterms:W3CDTF">2020-06-15T14:06:00Z</dcterms:created>
  <dcterms:modified xsi:type="dcterms:W3CDTF">2020-06-15T14:06:00Z</dcterms:modified>
</cp:coreProperties>
</file>