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82244" w14:textId="77777777" w:rsidR="002A52E9" w:rsidRPr="00EA15E7" w:rsidRDefault="003053AD" w:rsidP="00931623">
      <w:pPr>
        <w:spacing w:after="480"/>
        <w:rPr>
          <w:rFonts w:ascii="Tahoma" w:hAnsi="Tahoma" w:cs="Tahoma"/>
          <w:sz w:val="21"/>
          <w:szCs w:val="21"/>
        </w:rPr>
      </w:pPr>
      <w:r w:rsidRPr="00EA15E7">
        <w:rPr>
          <w:rFonts w:ascii="Tahoma" w:hAnsi="Tahoma" w:cs="Tahom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82263" wp14:editId="00182264">
                <wp:simplePos x="0" y="0"/>
                <wp:positionH relativeFrom="column">
                  <wp:posOffset>1695450</wp:posOffset>
                </wp:positionH>
                <wp:positionV relativeFrom="paragraph">
                  <wp:posOffset>9525</wp:posOffset>
                </wp:positionV>
                <wp:extent cx="469582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82267" w14:textId="77777777" w:rsidR="003053AD" w:rsidRPr="007852DD" w:rsidRDefault="003053AD" w:rsidP="003053AD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18"/>
                              </w:rPr>
                            </w:pPr>
                            <w:r w:rsidRPr="007852DD">
                              <w:rPr>
                                <w:rFonts w:ascii="Tahoma" w:hAnsi="Tahoma" w:cs="Tahoma"/>
                                <w:b/>
                                <w:color w:val="002060"/>
                                <w:sz w:val="20"/>
                                <w:szCs w:val="18"/>
                              </w:rPr>
                              <w:t>Minnesota Association of Health Underwriters</w:t>
                            </w:r>
                          </w:p>
                          <w:p w14:paraId="00182268" w14:textId="77777777" w:rsidR="004E6ABF" w:rsidRPr="007852DD" w:rsidRDefault="003053AD" w:rsidP="004E6ABF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18"/>
                              </w:rPr>
                            </w:pPr>
                            <w:r w:rsidRPr="007852DD">
                              <w:rPr>
                                <w:rFonts w:ascii="Tahoma" w:hAnsi="Tahoma" w:cs="Tahoma"/>
                                <w:sz w:val="20"/>
                                <w:szCs w:val="18"/>
                              </w:rPr>
                              <w:t>5353 Wayzata Blvd, Ste</w:t>
                            </w:r>
                            <w:r w:rsidR="00775528" w:rsidRPr="007852DD">
                              <w:rPr>
                                <w:rFonts w:ascii="Tahoma" w:hAnsi="Tahoma" w:cs="Tahoma"/>
                                <w:sz w:val="20"/>
                                <w:szCs w:val="18"/>
                              </w:rPr>
                              <w:t>.</w:t>
                            </w:r>
                            <w:r w:rsidRPr="007852DD">
                              <w:rPr>
                                <w:rFonts w:ascii="Tahoma" w:hAnsi="Tahoma" w:cs="Tahoma"/>
                                <w:sz w:val="20"/>
                                <w:szCs w:val="18"/>
                              </w:rPr>
                              <w:t xml:space="preserve"> 350 – Minneapolis, MN 55416</w:t>
                            </w:r>
                            <w:r w:rsidR="004E6ABF" w:rsidRPr="007852DD">
                              <w:rPr>
                                <w:rFonts w:ascii="Tahoma" w:hAnsi="Tahoma" w:cs="Tahoma"/>
                                <w:sz w:val="20"/>
                                <w:szCs w:val="18"/>
                              </w:rPr>
                              <w:t xml:space="preserve"> – 952.564.3049</w:t>
                            </w:r>
                          </w:p>
                          <w:p w14:paraId="00182269" w14:textId="77777777" w:rsidR="004E6ABF" w:rsidRPr="007852DD" w:rsidRDefault="004E6ABF" w:rsidP="004E6ABF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18"/>
                              </w:rPr>
                            </w:pPr>
                            <w:r w:rsidRPr="007852DD">
                              <w:rPr>
                                <w:rFonts w:ascii="Tahoma" w:hAnsi="Tahoma" w:cs="Tahoma"/>
                                <w:sz w:val="20"/>
                                <w:szCs w:val="18"/>
                              </w:rPr>
                              <w:t>Chris Schneeman &amp; Dave Wiest – Co-Chairs</w:t>
                            </w:r>
                          </w:p>
                          <w:p w14:paraId="0018226A" w14:textId="77777777" w:rsidR="004E6ABF" w:rsidRPr="007852DD" w:rsidRDefault="004E6ABF" w:rsidP="004E6ABF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18"/>
                              </w:rPr>
                            </w:pPr>
                            <w:r w:rsidRPr="007852DD">
                              <w:rPr>
                                <w:rFonts w:ascii="Tahoma" w:hAnsi="Tahoma" w:cs="Tahoma"/>
                                <w:sz w:val="20"/>
                                <w:szCs w:val="18"/>
                              </w:rPr>
                              <w:t>MAHU Legislative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1822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3.5pt;margin-top:.75pt;width:36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" stroked="f">
                <v:textbox style="mso-fit-shape-to-text:t">
                  <w:txbxContent>
                    <w:p w14:paraId="00182267" w14:textId="77777777" w:rsidR="003053AD" w:rsidRPr="007852DD" w:rsidRDefault="003053AD" w:rsidP="003053AD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18"/>
                        </w:rPr>
                      </w:pPr>
                      <w:r w:rsidRPr="007852DD">
                        <w:rPr>
                          <w:rFonts w:ascii="Tahoma" w:hAnsi="Tahoma" w:cs="Tahoma"/>
                          <w:b/>
                          <w:color w:val="002060"/>
                          <w:sz w:val="20"/>
                          <w:szCs w:val="18"/>
                        </w:rPr>
                        <w:t>Minnesota Association of Health Underwriters</w:t>
                      </w:r>
                    </w:p>
                    <w:p w14:paraId="00182268" w14:textId="77777777" w:rsidR="004E6ABF" w:rsidRPr="007852DD" w:rsidRDefault="003053AD" w:rsidP="004E6ABF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18"/>
                        </w:rPr>
                      </w:pPr>
                      <w:r w:rsidRPr="007852DD">
                        <w:rPr>
                          <w:rFonts w:ascii="Tahoma" w:hAnsi="Tahoma" w:cs="Tahoma"/>
                          <w:sz w:val="20"/>
                          <w:szCs w:val="18"/>
                        </w:rPr>
                        <w:t>5353 Wayzata Blvd, Ste</w:t>
                      </w:r>
                      <w:r w:rsidR="00775528" w:rsidRPr="007852DD">
                        <w:rPr>
                          <w:rFonts w:ascii="Tahoma" w:hAnsi="Tahoma" w:cs="Tahoma"/>
                          <w:sz w:val="20"/>
                          <w:szCs w:val="18"/>
                        </w:rPr>
                        <w:t>.</w:t>
                      </w:r>
                      <w:r w:rsidRPr="007852DD">
                        <w:rPr>
                          <w:rFonts w:ascii="Tahoma" w:hAnsi="Tahoma" w:cs="Tahoma"/>
                          <w:sz w:val="20"/>
                          <w:szCs w:val="18"/>
                        </w:rPr>
                        <w:t xml:space="preserve"> 350 – Minneapolis, MN 55416</w:t>
                      </w:r>
                      <w:r w:rsidR="004E6ABF" w:rsidRPr="007852DD">
                        <w:rPr>
                          <w:rFonts w:ascii="Tahoma" w:hAnsi="Tahoma" w:cs="Tahoma"/>
                          <w:sz w:val="20"/>
                          <w:szCs w:val="18"/>
                        </w:rPr>
                        <w:t xml:space="preserve"> – 952.564.3049</w:t>
                      </w:r>
                    </w:p>
                    <w:p w14:paraId="00182269" w14:textId="77777777" w:rsidR="004E6ABF" w:rsidRPr="007852DD" w:rsidRDefault="004E6ABF" w:rsidP="004E6ABF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18"/>
                        </w:rPr>
                      </w:pPr>
                      <w:r w:rsidRPr="007852DD">
                        <w:rPr>
                          <w:rFonts w:ascii="Tahoma" w:hAnsi="Tahoma" w:cs="Tahoma"/>
                          <w:sz w:val="20"/>
                          <w:szCs w:val="18"/>
                        </w:rPr>
                        <w:t>Chris Schneeman &amp; Dave Wiest – Co-Chairs</w:t>
                      </w:r>
                    </w:p>
                    <w:p w14:paraId="0018226A" w14:textId="77777777" w:rsidR="004E6ABF" w:rsidRPr="007852DD" w:rsidRDefault="004E6ABF" w:rsidP="004E6ABF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18"/>
                        </w:rPr>
                      </w:pPr>
                      <w:r w:rsidRPr="007852DD">
                        <w:rPr>
                          <w:rFonts w:ascii="Tahoma" w:hAnsi="Tahoma" w:cs="Tahoma"/>
                          <w:sz w:val="20"/>
                          <w:szCs w:val="18"/>
                        </w:rPr>
                        <w:t>MAHU Legislative Committee</w:t>
                      </w:r>
                    </w:p>
                  </w:txbxContent>
                </v:textbox>
              </v:shape>
            </w:pict>
          </mc:Fallback>
        </mc:AlternateContent>
      </w:r>
      <w:r w:rsidR="002A52E9" w:rsidRPr="00EA15E7"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 wp14:anchorId="00182265" wp14:editId="00182266">
            <wp:extent cx="1628775" cy="67373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82245" w14:textId="45777F6C" w:rsidR="004E6ABF" w:rsidRPr="007852DD" w:rsidRDefault="004E6ABF" w:rsidP="004E6ABF">
      <w:pPr>
        <w:spacing w:after="0"/>
        <w:jc w:val="center"/>
        <w:rPr>
          <w:rFonts w:ascii="Tahoma" w:hAnsi="Tahoma" w:cs="Tahoma"/>
          <w:b/>
          <w:szCs w:val="21"/>
        </w:rPr>
      </w:pPr>
      <w:r w:rsidRPr="007852DD">
        <w:rPr>
          <w:rFonts w:ascii="Tahoma" w:hAnsi="Tahoma" w:cs="Tahoma"/>
          <w:b/>
          <w:szCs w:val="21"/>
        </w:rPr>
        <w:t>Low-Income Individuals Right to Choose their Health Plan</w:t>
      </w:r>
    </w:p>
    <w:p w14:paraId="14601FA3" w14:textId="0BAD9015" w:rsidR="00DB7D2C" w:rsidRPr="007852DD" w:rsidRDefault="00EA15E7" w:rsidP="004E6ABF">
      <w:pPr>
        <w:spacing w:after="0"/>
        <w:jc w:val="center"/>
        <w:rPr>
          <w:rFonts w:ascii="Tahoma" w:hAnsi="Tahoma" w:cs="Tahoma"/>
          <w:b/>
          <w:szCs w:val="21"/>
        </w:rPr>
      </w:pPr>
      <w:r w:rsidRPr="007852DD">
        <w:rPr>
          <w:rFonts w:ascii="Tahoma" w:hAnsi="Tahoma" w:cs="Tahoma"/>
          <w:b/>
          <w:szCs w:val="21"/>
        </w:rPr>
        <w:t>SF 2564</w:t>
      </w:r>
      <w:r w:rsidR="00DB7D2C" w:rsidRPr="007852DD">
        <w:rPr>
          <w:rFonts w:ascii="Tahoma" w:hAnsi="Tahoma" w:cs="Tahoma"/>
          <w:b/>
          <w:szCs w:val="21"/>
        </w:rPr>
        <w:t xml:space="preserve"> (Hoffman) / HF 2405 (Zerwas)</w:t>
      </w:r>
    </w:p>
    <w:p w14:paraId="00182246" w14:textId="77777777" w:rsidR="004E6ABF" w:rsidRPr="00EA15E7" w:rsidRDefault="004E6ABF" w:rsidP="004E6ABF">
      <w:pPr>
        <w:spacing w:after="0"/>
        <w:jc w:val="center"/>
        <w:rPr>
          <w:rFonts w:ascii="Tahoma" w:hAnsi="Tahoma" w:cs="Tahoma"/>
          <w:b/>
          <w:sz w:val="21"/>
          <w:szCs w:val="21"/>
        </w:rPr>
      </w:pPr>
    </w:p>
    <w:p w14:paraId="00182247" w14:textId="5312F481" w:rsidR="002A52E9" w:rsidRPr="00EA15E7" w:rsidRDefault="004702EA" w:rsidP="00775528">
      <w:pPr>
        <w:pStyle w:val="ListParagraph"/>
        <w:spacing w:after="0"/>
        <w:rPr>
          <w:rFonts w:ascii="Tahoma" w:hAnsi="Tahoma" w:cs="Tahoma"/>
          <w:sz w:val="21"/>
          <w:szCs w:val="21"/>
        </w:rPr>
      </w:pPr>
      <w:r w:rsidRPr="00EA15E7">
        <w:rPr>
          <w:rFonts w:ascii="Tahoma" w:hAnsi="Tahoma" w:cs="Tahoma"/>
          <w:b/>
          <w:sz w:val="21"/>
          <w:szCs w:val="21"/>
        </w:rPr>
        <w:t>Goal</w:t>
      </w:r>
      <w:r w:rsidR="000826B7" w:rsidRPr="00EA15E7">
        <w:rPr>
          <w:rFonts w:ascii="Tahoma" w:hAnsi="Tahoma" w:cs="Tahoma"/>
          <w:b/>
          <w:sz w:val="21"/>
          <w:szCs w:val="21"/>
        </w:rPr>
        <w:t xml:space="preserve">: </w:t>
      </w:r>
      <w:r w:rsidR="002A52E9" w:rsidRPr="00EA15E7">
        <w:rPr>
          <w:rFonts w:ascii="Tahoma" w:hAnsi="Tahoma" w:cs="Tahoma"/>
          <w:sz w:val="21"/>
          <w:szCs w:val="21"/>
        </w:rPr>
        <w:t>Change Minnesota law</w:t>
      </w:r>
      <w:r w:rsidR="00074C54">
        <w:rPr>
          <w:rFonts w:ascii="Tahoma" w:hAnsi="Tahoma" w:cs="Tahoma"/>
          <w:sz w:val="21"/>
          <w:szCs w:val="21"/>
        </w:rPr>
        <w:t xml:space="preserve"> by</w:t>
      </w:r>
      <w:r w:rsidR="000826B7" w:rsidRPr="00EA15E7">
        <w:rPr>
          <w:rFonts w:ascii="Tahoma" w:hAnsi="Tahoma" w:cs="Tahoma"/>
          <w:sz w:val="21"/>
          <w:szCs w:val="21"/>
        </w:rPr>
        <w:t xml:space="preserve"> seek</w:t>
      </w:r>
      <w:r w:rsidR="00074C54">
        <w:rPr>
          <w:rFonts w:ascii="Tahoma" w:hAnsi="Tahoma" w:cs="Tahoma"/>
          <w:sz w:val="21"/>
          <w:szCs w:val="21"/>
        </w:rPr>
        <w:t>ing a federal waiver</w:t>
      </w:r>
      <w:r w:rsidR="000826B7" w:rsidRPr="00EA15E7">
        <w:rPr>
          <w:rFonts w:ascii="Tahoma" w:hAnsi="Tahoma" w:cs="Tahoma"/>
          <w:sz w:val="21"/>
          <w:szCs w:val="21"/>
        </w:rPr>
        <w:t xml:space="preserve"> </w:t>
      </w:r>
      <w:r w:rsidR="002A52E9" w:rsidRPr="00EA15E7">
        <w:rPr>
          <w:rFonts w:ascii="Tahoma" w:hAnsi="Tahoma" w:cs="Tahoma"/>
          <w:sz w:val="21"/>
          <w:szCs w:val="21"/>
        </w:rPr>
        <w:t>to allow low-</w:t>
      </w:r>
      <w:r w:rsidR="007B4C70" w:rsidRPr="00EA15E7">
        <w:rPr>
          <w:rFonts w:ascii="Tahoma" w:hAnsi="Tahoma" w:cs="Tahoma"/>
          <w:sz w:val="21"/>
          <w:szCs w:val="21"/>
        </w:rPr>
        <w:t xml:space="preserve"> and moderate </w:t>
      </w:r>
      <w:r w:rsidR="002A52E9" w:rsidRPr="00EA15E7">
        <w:rPr>
          <w:rFonts w:ascii="Tahoma" w:hAnsi="Tahoma" w:cs="Tahoma"/>
          <w:sz w:val="21"/>
          <w:szCs w:val="21"/>
        </w:rPr>
        <w:t xml:space="preserve">income individuals who apply for a health plan through </w:t>
      </w:r>
      <w:proofErr w:type="spellStart"/>
      <w:r w:rsidR="002A52E9" w:rsidRPr="00EA15E7">
        <w:rPr>
          <w:rFonts w:ascii="Tahoma" w:hAnsi="Tahoma" w:cs="Tahoma"/>
          <w:sz w:val="21"/>
          <w:szCs w:val="21"/>
        </w:rPr>
        <w:t>MNsure</w:t>
      </w:r>
      <w:proofErr w:type="spellEnd"/>
      <w:r w:rsidR="002A52E9" w:rsidRPr="00EA15E7">
        <w:rPr>
          <w:rFonts w:ascii="Tahoma" w:hAnsi="Tahoma" w:cs="Tahoma"/>
          <w:sz w:val="21"/>
          <w:szCs w:val="21"/>
        </w:rPr>
        <w:t xml:space="preserve"> </w:t>
      </w:r>
      <w:r w:rsidR="00074C54">
        <w:rPr>
          <w:rFonts w:ascii="Tahoma" w:hAnsi="Tahoma" w:cs="Tahoma"/>
          <w:sz w:val="21"/>
          <w:szCs w:val="21"/>
        </w:rPr>
        <w:t xml:space="preserve">to have </w:t>
      </w:r>
      <w:r w:rsidR="002A52E9" w:rsidRPr="00EA15E7">
        <w:rPr>
          <w:rFonts w:ascii="Tahoma" w:hAnsi="Tahoma" w:cs="Tahoma"/>
          <w:sz w:val="21"/>
          <w:szCs w:val="21"/>
        </w:rPr>
        <w:t xml:space="preserve">the right to choose between </w:t>
      </w:r>
      <w:r w:rsidR="007F0D82">
        <w:rPr>
          <w:rFonts w:ascii="Tahoma" w:hAnsi="Tahoma" w:cs="Tahoma"/>
          <w:sz w:val="21"/>
          <w:szCs w:val="21"/>
        </w:rPr>
        <w:t>the Basic Health Plan (BHP)</w:t>
      </w:r>
      <w:r w:rsidR="004E6ABF" w:rsidRPr="00EA15E7">
        <w:rPr>
          <w:rFonts w:ascii="Tahoma" w:hAnsi="Tahoma" w:cs="Tahoma"/>
          <w:sz w:val="21"/>
          <w:szCs w:val="21"/>
        </w:rPr>
        <w:t xml:space="preserve"> or a Qualified Health Plan (Q</w:t>
      </w:r>
      <w:r w:rsidR="002A52E9" w:rsidRPr="00EA15E7">
        <w:rPr>
          <w:rFonts w:ascii="Tahoma" w:hAnsi="Tahoma" w:cs="Tahoma"/>
          <w:sz w:val="21"/>
          <w:szCs w:val="21"/>
        </w:rPr>
        <w:t>HP)</w:t>
      </w:r>
      <w:r w:rsidR="00074C54">
        <w:rPr>
          <w:rFonts w:ascii="Tahoma" w:hAnsi="Tahoma" w:cs="Tahoma"/>
          <w:sz w:val="21"/>
          <w:szCs w:val="21"/>
        </w:rPr>
        <w:t xml:space="preserve"> using</w:t>
      </w:r>
      <w:r w:rsidR="007873B8" w:rsidRPr="00EA15E7">
        <w:rPr>
          <w:rFonts w:ascii="Tahoma" w:hAnsi="Tahoma" w:cs="Tahoma"/>
          <w:sz w:val="21"/>
          <w:szCs w:val="21"/>
        </w:rPr>
        <w:t xml:space="preserve"> premium tax credits and cost-sharing reductions</w:t>
      </w:r>
      <w:r w:rsidR="002A52E9" w:rsidRPr="00EA15E7">
        <w:rPr>
          <w:rFonts w:ascii="Tahoma" w:hAnsi="Tahoma" w:cs="Tahoma"/>
          <w:sz w:val="21"/>
          <w:szCs w:val="21"/>
        </w:rPr>
        <w:t>.</w:t>
      </w:r>
      <w:r w:rsidR="00775528" w:rsidRPr="00EA15E7">
        <w:rPr>
          <w:rFonts w:ascii="Tahoma" w:hAnsi="Tahoma" w:cs="Tahoma"/>
          <w:sz w:val="21"/>
          <w:szCs w:val="21"/>
        </w:rPr>
        <w:t xml:space="preserve"> </w:t>
      </w:r>
    </w:p>
    <w:p w14:paraId="00182248" w14:textId="77777777" w:rsidR="002A52E9" w:rsidRPr="00EA15E7" w:rsidRDefault="002A52E9" w:rsidP="007802DE">
      <w:pPr>
        <w:spacing w:after="0"/>
        <w:rPr>
          <w:rFonts w:ascii="Tahoma" w:hAnsi="Tahoma" w:cs="Tahoma"/>
          <w:sz w:val="21"/>
          <w:szCs w:val="21"/>
        </w:rPr>
        <w:sectPr w:rsidR="002A52E9" w:rsidRPr="00EA15E7" w:rsidSect="004E6ABF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00182249" w14:textId="77777777" w:rsidR="00775528" w:rsidRPr="00EA15E7" w:rsidRDefault="00775528" w:rsidP="007802DE">
      <w:pPr>
        <w:spacing w:after="0"/>
        <w:rPr>
          <w:rFonts w:ascii="Tahoma" w:hAnsi="Tahoma" w:cs="Tahoma"/>
          <w:sz w:val="21"/>
          <w:szCs w:val="21"/>
        </w:rPr>
      </w:pPr>
    </w:p>
    <w:p w14:paraId="0018224A" w14:textId="1AD6A357" w:rsidR="00931623" w:rsidRPr="00EA15E7" w:rsidRDefault="00931623" w:rsidP="007802DE">
      <w:pPr>
        <w:spacing w:after="0"/>
        <w:rPr>
          <w:rFonts w:ascii="Tahoma" w:hAnsi="Tahoma" w:cs="Tahoma"/>
          <w:sz w:val="21"/>
          <w:szCs w:val="21"/>
        </w:rPr>
      </w:pPr>
      <w:r w:rsidRPr="00EA15E7">
        <w:rPr>
          <w:rFonts w:ascii="Tahoma" w:hAnsi="Tahoma" w:cs="Tahoma"/>
          <w:sz w:val="21"/>
          <w:szCs w:val="21"/>
        </w:rPr>
        <w:t>Low-</w:t>
      </w:r>
      <w:r w:rsidR="007B4C70" w:rsidRPr="00EA15E7">
        <w:rPr>
          <w:rFonts w:ascii="Tahoma" w:hAnsi="Tahoma" w:cs="Tahoma"/>
          <w:sz w:val="21"/>
          <w:szCs w:val="21"/>
        </w:rPr>
        <w:t xml:space="preserve"> and moderate-</w:t>
      </w:r>
      <w:r w:rsidRPr="00EA15E7">
        <w:rPr>
          <w:rFonts w:ascii="Tahoma" w:hAnsi="Tahoma" w:cs="Tahoma"/>
          <w:sz w:val="21"/>
          <w:szCs w:val="21"/>
        </w:rPr>
        <w:t>income Minnesotans should have the same right to choose a QHP</w:t>
      </w:r>
      <w:r w:rsidR="00074C54">
        <w:rPr>
          <w:rFonts w:ascii="Tahoma" w:hAnsi="Tahoma" w:cs="Tahoma"/>
          <w:sz w:val="21"/>
          <w:szCs w:val="21"/>
        </w:rPr>
        <w:t xml:space="preserve"> as all other Minnesotans</w:t>
      </w:r>
      <w:r w:rsidRPr="00EA15E7">
        <w:rPr>
          <w:rFonts w:ascii="Tahoma" w:hAnsi="Tahoma" w:cs="Tahoma"/>
          <w:sz w:val="21"/>
          <w:szCs w:val="21"/>
        </w:rPr>
        <w:t xml:space="preserve"> who apply for a health plan </w:t>
      </w:r>
      <w:r w:rsidR="007B4C70" w:rsidRPr="00EA15E7">
        <w:rPr>
          <w:rFonts w:ascii="Tahoma" w:hAnsi="Tahoma" w:cs="Tahoma"/>
          <w:sz w:val="21"/>
          <w:szCs w:val="21"/>
        </w:rPr>
        <w:t>at</w:t>
      </w:r>
      <w:r w:rsidRPr="00EA15E7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EA15E7">
        <w:rPr>
          <w:rFonts w:ascii="Tahoma" w:hAnsi="Tahoma" w:cs="Tahoma"/>
          <w:sz w:val="21"/>
          <w:szCs w:val="21"/>
        </w:rPr>
        <w:t>MNsure</w:t>
      </w:r>
      <w:proofErr w:type="spellEnd"/>
      <w:r w:rsidRPr="00EA15E7">
        <w:rPr>
          <w:rFonts w:ascii="Tahoma" w:hAnsi="Tahoma" w:cs="Tahoma"/>
          <w:sz w:val="21"/>
          <w:szCs w:val="21"/>
        </w:rPr>
        <w:t xml:space="preserve">. </w:t>
      </w:r>
    </w:p>
    <w:p w14:paraId="0018224B" w14:textId="77777777" w:rsidR="004E6ABF" w:rsidRPr="00EA15E7" w:rsidRDefault="004E6ABF" w:rsidP="007802DE">
      <w:pPr>
        <w:spacing w:after="0"/>
        <w:rPr>
          <w:rFonts w:ascii="Tahoma" w:hAnsi="Tahoma" w:cs="Tahoma"/>
          <w:sz w:val="21"/>
          <w:szCs w:val="21"/>
        </w:rPr>
      </w:pPr>
    </w:p>
    <w:p w14:paraId="0018224C" w14:textId="3744F641" w:rsidR="00302C50" w:rsidRPr="00EA15E7" w:rsidRDefault="00302C50" w:rsidP="00302C50">
      <w:pPr>
        <w:spacing w:after="0"/>
        <w:rPr>
          <w:rFonts w:ascii="Tahoma" w:hAnsi="Tahoma" w:cs="Tahoma"/>
          <w:sz w:val="21"/>
          <w:szCs w:val="21"/>
        </w:rPr>
      </w:pPr>
      <w:r w:rsidRPr="00EA15E7">
        <w:rPr>
          <w:rFonts w:ascii="Tahoma" w:hAnsi="Tahoma" w:cs="Tahoma"/>
          <w:sz w:val="21"/>
          <w:szCs w:val="21"/>
          <w:u w:val="single"/>
        </w:rPr>
        <w:t>B</w:t>
      </w:r>
      <w:r w:rsidR="007873B8" w:rsidRPr="00EA15E7">
        <w:rPr>
          <w:rFonts w:ascii="Tahoma" w:hAnsi="Tahoma" w:cs="Tahoma"/>
          <w:sz w:val="21"/>
          <w:szCs w:val="21"/>
          <w:u w:val="single"/>
        </w:rPr>
        <w:t xml:space="preserve">asic </w:t>
      </w:r>
      <w:r w:rsidRPr="00EA15E7">
        <w:rPr>
          <w:rFonts w:ascii="Tahoma" w:hAnsi="Tahoma" w:cs="Tahoma"/>
          <w:sz w:val="21"/>
          <w:szCs w:val="21"/>
          <w:u w:val="single"/>
        </w:rPr>
        <w:t>H</w:t>
      </w:r>
      <w:r w:rsidR="007873B8" w:rsidRPr="00EA15E7">
        <w:rPr>
          <w:rFonts w:ascii="Tahoma" w:hAnsi="Tahoma" w:cs="Tahoma"/>
          <w:sz w:val="21"/>
          <w:szCs w:val="21"/>
          <w:u w:val="single"/>
        </w:rPr>
        <w:t xml:space="preserve">ealth </w:t>
      </w:r>
      <w:r w:rsidRPr="00EA15E7">
        <w:rPr>
          <w:rFonts w:ascii="Tahoma" w:hAnsi="Tahoma" w:cs="Tahoma"/>
          <w:sz w:val="21"/>
          <w:szCs w:val="21"/>
          <w:u w:val="single"/>
        </w:rPr>
        <w:t>P</w:t>
      </w:r>
      <w:r w:rsidR="007873B8" w:rsidRPr="00EA15E7">
        <w:rPr>
          <w:rFonts w:ascii="Tahoma" w:hAnsi="Tahoma" w:cs="Tahoma"/>
          <w:sz w:val="21"/>
          <w:szCs w:val="21"/>
          <w:u w:val="single"/>
        </w:rPr>
        <w:t>lan</w:t>
      </w:r>
      <w:r w:rsidR="007B73BF">
        <w:rPr>
          <w:rFonts w:ascii="Tahoma" w:hAnsi="Tahoma" w:cs="Tahoma"/>
          <w:sz w:val="21"/>
          <w:szCs w:val="21"/>
          <w:u w:val="single"/>
        </w:rPr>
        <w:t>(BHP)</w:t>
      </w:r>
      <w:r w:rsidRPr="00EA15E7">
        <w:rPr>
          <w:rFonts w:ascii="Tahoma" w:hAnsi="Tahoma" w:cs="Tahoma"/>
          <w:sz w:val="21"/>
          <w:szCs w:val="21"/>
          <w:u w:val="single"/>
        </w:rPr>
        <w:t>:</w:t>
      </w:r>
      <w:r w:rsidRPr="00EA15E7">
        <w:rPr>
          <w:rFonts w:ascii="Tahoma" w:hAnsi="Tahoma" w:cs="Tahoma"/>
          <w:sz w:val="21"/>
          <w:szCs w:val="21"/>
        </w:rPr>
        <w:t xml:space="preserve"> Minnesota </w:t>
      </w:r>
      <w:r w:rsidR="004702EA" w:rsidRPr="00EA15E7">
        <w:rPr>
          <w:rFonts w:ascii="Tahoma" w:hAnsi="Tahoma" w:cs="Tahoma"/>
          <w:sz w:val="21"/>
          <w:szCs w:val="21"/>
        </w:rPr>
        <w:t>is one of</w:t>
      </w:r>
      <w:r w:rsidR="007B4C70" w:rsidRPr="00EA15E7">
        <w:rPr>
          <w:rFonts w:ascii="Tahoma" w:hAnsi="Tahoma" w:cs="Tahoma"/>
          <w:color w:val="FF0000"/>
          <w:sz w:val="21"/>
          <w:szCs w:val="21"/>
        </w:rPr>
        <w:t xml:space="preserve"> </w:t>
      </w:r>
      <w:r w:rsidR="00EB7109" w:rsidRPr="00EA15E7">
        <w:rPr>
          <w:rFonts w:ascii="Tahoma" w:hAnsi="Tahoma" w:cs="Tahoma"/>
          <w:sz w:val="21"/>
          <w:szCs w:val="21"/>
        </w:rPr>
        <w:t>only</w:t>
      </w:r>
      <w:r w:rsidR="00EB7109" w:rsidRPr="00EA15E7">
        <w:rPr>
          <w:rFonts w:ascii="Tahoma" w:hAnsi="Tahoma" w:cs="Tahoma"/>
          <w:color w:val="FF0000"/>
          <w:sz w:val="21"/>
          <w:szCs w:val="21"/>
        </w:rPr>
        <w:t xml:space="preserve"> </w:t>
      </w:r>
      <w:r w:rsidR="004702EA" w:rsidRPr="00EA15E7">
        <w:rPr>
          <w:rFonts w:ascii="Tahoma" w:hAnsi="Tahoma" w:cs="Tahoma"/>
          <w:sz w:val="21"/>
          <w:szCs w:val="21"/>
        </w:rPr>
        <w:t>two</w:t>
      </w:r>
      <w:r w:rsidR="004702EA" w:rsidRPr="00EA15E7">
        <w:rPr>
          <w:rFonts w:ascii="Tahoma" w:hAnsi="Tahoma" w:cs="Tahoma"/>
          <w:color w:val="FF0000"/>
          <w:sz w:val="21"/>
          <w:szCs w:val="21"/>
        </w:rPr>
        <w:t xml:space="preserve"> </w:t>
      </w:r>
      <w:r w:rsidR="00EB7109" w:rsidRPr="00EA15E7">
        <w:rPr>
          <w:rFonts w:ascii="Tahoma" w:hAnsi="Tahoma" w:cs="Tahoma"/>
          <w:sz w:val="21"/>
          <w:szCs w:val="21"/>
        </w:rPr>
        <w:t>state</w:t>
      </w:r>
      <w:r w:rsidR="004702EA" w:rsidRPr="00EA15E7">
        <w:rPr>
          <w:rFonts w:ascii="Tahoma" w:hAnsi="Tahoma" w:cs="Tahoma"/>
          <w:sz w:val="21"/>
          <w:szCs w:val="21"/>
        </w:rPr>
        <w:t>s</w:t>
      </w:r>
      <w:r w:rsidR="00EB7109" w:rsidRPr="00EA15E7">
        <w:rPr>
          <w:rFonts w:ascii="Tahoma" w:hAnsi="Tahoma" w:cs="Tahoma"/>
          <w:sz w:val="21"/>
          <w:szCs w:val="21"/>
        </w:rPr>
        <w:t xml:space="preserve"> to </w:t>
      </w:r>
      <w:r w:rsidR="004702EA" w:rsidRPr="00EA15E7">
        <w:rPr>
          <w:rFonts w:ascii="Tahoma" w:hAnsi="Tahoma" w:cs="Tahoma"/>
          <w:sz w:val="21"/>
          <w:szCs w:val="21"/>
        </w:rPr>
        <w:t>implement</w:t>
      </w:r>
      <w:r w:rsidRPr="00EA15E7">
        <w:rPr>
          <w:rFonts w:ascii="Tahoma" w:hAnsi="Tahoma" w:cs="Tahoma"/>
          <w:sz w:val="21"/>
          <w:szCs w:val="21"/>
        </w:rPr>
        <w:t xml:space="preserve"> </w:t>
      </w:r>
      <w:r w:rsidR="004702EA" w:rsidRPr="00EA15E7">
        <w:rPr>
          <w:rFonts w:ascii="Tahoma" w:hAnsi="Tahoma" w:cs="Tahoma"/>
          <w:sz w:val="21"/>
          <w:szCs w:val="21"/>
        </w:rPr>
        <w:t xml:space="preserve">a </w:t>
      </w:r>
      <w:r w:rsidR="004702EA" w:rsidRPr="007B73BF">
        <w:rPr>
          <w:rFonts w:ascii="Tahoma" w:hAnsi="Tahoma" w:cs="Tahoma"/>
          <w:sz w:val="21"/>
          <w:szCs w:val="21"/>
          <w:u w:val="single"/>
        </w:rPr>
        <w:t>mandatory</w:t>
      </w:r>
      <w:r w:rsidR="004702EA" w:rsidRPr="00EA15E7">
        <w:rPr>
          <w:rFonts w:ascii="Tahoma" w:hAnsi="Tahoma" w:cs="Tahoma"/>
          <w:sz w:val="21"/>
          <w:szCs w:val="21"/>
        </w:rPr>
        <w:t xml:space="preserve"> Basic Health Plan for individuals who would </w:t>
      </w:r>
      <w:r w:rsidR="007B73BF">
        <w:rPr>
          <w:rFonts w:ascii="Tahoma" w:hAnsi="Tahoma" w:cs="Tahoma"/>
          <w:sz w:val="21"/>
          <w:szCs w:val="21"/>
        </w:rPr>
        <w:t xml:space="preserve">otherwise </w:t>
      </w:r>
      <w:r w:rsidR="00797633" w:rsidRPr="00EA15E7">
        <w:rPr>
          <w:rFonts w:ascii="Tahoma" w:hAnsi="Tahoma" w:cs="Tahoma"/>
          <w:sz w:val="21"/>
          <w:szCs w:val="21"/>
        </w:rPr>
        <w:t xml:space="preserve">qualify for Advanced Premium Tax Credits </w:t>
      </w:r>
      <w:r w:rsidR="007B73BF">
        <w:rPr>
          <w:rFonts w:ascii="Tahoma" w:hAnsi="Tahoma" w:cs="Tahoma"/>
          <w:sz w:val="21"/>
          <w:szCs w:val="21"/>
        </w:rPr>
        <w:t xml:space="preserve">&amp; Cost Sharing Reductions </w:t>
      </w:r>
      <w:r w:rsidR="00797633" w:rsidRPr="00EA15E7">
        <w:rPr>
          <w:rFonts w:ascii="Tahoma" w:hAnsi="Tahoma" w:cs="Tahoma"/>
          <w:sz w:val="21"/>
          <w:szCs w:val="21"/>
        </w:rPr>
        <w:t>to purchase their</w:t>
      </w:r>
      <w:r w:rsidR="004702EA" w:rsidRPr="00EA15E7">
        <w:rPr>
          <w:rFonts w:ascii="Tahoma" w:hAnsi="Tahoma" w:cs="Tahoma"/>
          <w:sz w:val="21"/>
          <w:szCs w:val="21"/>
        </w:rPr>
        <w:t xml:space="preserve"> choice of QHP</w:t>
      </w:r>
      <w:r w:rsidR="007B73BF">
        <w:rPr>
          <w:rFonts w:ascii="Tahoma" w:hAnsi="Tahoma" w:cs="Tahoma"/>
          <w:sz w:val="21"/>
          <w:szCs w:val="21"/>
        </w:rPr>
        <w:t>s</w:t>
      </w:r>
      <w:r w:rsidR="004702EA" w:rsidRPr="00EA15E7">
        <w:rPr>
          <w:rFonts w:ascii="Tahoma" w:hAnsi="Tahoma" w:cs="Tahoma"/>
          <w:sz w:val="21"/>
          <w:szCs w:val="21"/>
        </w:rPr>
        <w:t>.</w:t>
      </w:r>
      <w:r w:rsidR="007B4C70" w:rsidRPr="00EA15E7">
        <w:rPr>
          <w:rFonts w:ascii="Tahoma" w:hAnsi="Tahoma" w:cs="Tahoma"/>
          <w:sz w:val="21"/>
          <w:szCs w:val="21"/>
        </w:rPr>
        <w:t xml:space="preserve"> The BHP in Minnesota is</w:t>
      </w:r>
      <w:r w:rsidRPr="00EA15E7">
        <w:rPr>
          <w:rFonts w:ascii="Tahoma" w:hAnsi="Tahoma" w:cs="Tahoma"/>
          <w:sz w:val="21"/>
          <w:szCs w:val="21"/>
        </w:rPr>
        <w:t xml:space="preserve"> MinnesotaCare. </w:t>
      </w:r>
      <w:r w:rsidR="007873B8" w:rsidRPr="00EA15E7">
        <w:rPr>
          <w:rFonts w:ascii="Tahoma" w:hAnsi="Tahoma" w:cs="Tahoma"/>
          <w:sz w:val="21"/>
          <w:szCs w:val="21"/>
        </w:rPr>
        <w:t>F</w:t>
      </w:r>
      <w:r w:rsidR="007B4C70" w:rsidRPr="00EA15E7">
        <w:rPr>
          <w:rFonts w:ascii="Tahoma" w:hAnsi="Tahoma" w:cs="Tahoma"/>
          <w:sz w:val="21"/>
          <w:szCs w:val="21"/>
        </w:rPr>
        <w:t xml:space="preserve">ederal law requires that individuals who are eligible for </w:t>
      </w:r>
      <w:r w:rsidR="007B73BF">
        <w:rPr>
          <w:rFonts w:ascii="Tahoma" w:hAnsi="Tahoma" w:cs="Tahoma"/>
          <w:sz w:val="21"/>
          <w:szCs w:val="21"/>
        </w:rPr>
        <w:t>the BHP</w:t>
      </w:r>
      <w:r w:rsidR="007B4C70" w:rsidRPr="00EA15E7">
        <w:rPr>
          <w:rFonts w:ascii="Tahoma" w:hAnsi="Tahoma" w:cs="Tahoma"/>
          <w:sz w:val="21"/>
          <w:szCs w:val="21"/>
        </w:rPr>
        <w:t xml:space="preserve"> must forfeit the opportunity to choose a QHP. </w:t>
      </w:r>
      <w:r w:rsidR="007873B8" w:rsidRPr="00EA15E7">
        <w:rPr>
          <w:rFonts w:ascii="Tahoma" w:hAnsi="Tahoma" w:cs="Tahoma"/>
          <w:sz w:val="21"/>
          <w:szCs w:val="21"/>
        </w:rPr>
        <w:t xml:space="preserve">Hence, </w:t>
      </w:r>
      <w:r w:rsidRPr="00EA15E7">
        <w:rPr>
          <w:rFonts w:ascii="Tahoma" w:hAnsi="Tahoma" w:cs="Tahoma"/>
          <w:sz w:val="21"/>
          <w:szCs w:val="21"/>
        </w:rPr>
        <w:t>Minnesota’s low-</w:t>
      </w:r>
      <w:r w:rsidR="007B4C70" w:rsidRPr="00EA15E7">
        <w:rPr>
          <w:rFonts w:ascii="Tahoma" w:hAnsi="Tahoma" w:cs="Tahoma"/>
          <w:sz w:val="21"/>
          <w:szCs w:val="21"/>
        </w:rPr>
        <w:t xml:space="preserve"> and moderate-</w:t>
      </w:r>
      <w:r w:rsidRPr="00EA15E7">
        <w:rPr>
          <w:rFonts w:ascii="Tahoma" w:hAnsi="Tahoma" w:cs="Tahoma"/>
          <w:sz w:val="21"/>
          <w:szCs w:val="21"/>
        </w:rPr>
        <w:t xml:space="preserve">income residents are </w:t>
      </w:r>
      <w:r w:rsidR="00797633" w:rsidRPr="00EA15E7">
        <w:rPr>
          <w:rFonts w:ascii="Tahoma" w:hAnsi="Tahoma" w:cs="Tahoma"/>
          <w:sz w:val="21"/>
          <w:szCs w:val="21"/>
        </w:rPr>
        <w:t xml:space="preserve">some of </w:t>
      </w:r>
      <w:r w:rsidRPr="00EA15E7">
        <w:rPr>
          <w:rFonts w:ascii="Tahoma" w:hAnsi="Tahoma" w:cs="Tahoma"/>
          <w:sz w:val="21"/>
          <w:szCs w:val="21"/>
        </w:rPr>
        <w:t>the only</w:t>
      </w:r>
      <w:r w:rsidR="007873B8" w:rsidRPr="00EA15E7">
        <w:rPr>
          <w:rFonts w:ascii="Tahoma" w:hAnsi="Tahoma" w:cs="Tahoma"/>
          <w:sz w:val="21"/>
          <w:szCs w:val="21"/>
        </w:rPr>
        <w:t xml:space="preserve"> individuals</w:t>
      </w:r>
      <w:r w:rsidRPr="00EA15E7">
        <w:rPr>
          <w:rFonts w:ascii="Tahoma" w:hAnsi="Tahoma" w:cs="Tahoma"/>
          <w:sz w:val="21"/>
          <w:szCs w:val="21"/>
        </w:rPr>
        <w:t xml:space="preserve"> in the nat</w:t>
      </w:r>
      <w:r w:rsidR="007B73BF">
        <w:rPr>
          <w:rFonts w:ascii="Tahoma" w:hAnsi="Tahoma" w:cs="Tahoma"/>
          <w:sz w:val="21"/>
          <w:szCs w:val="21"/>
        </w:rPr>
        <w:t>ion denied their right to select a plan of their choice</w:t>
      </w:r>
      <w:r w:rsidRPr="00EA15E7">
        <w:rPr>
          <w:rFonts w:ascii="Tahoma" w:hAnsi="Tahoma" w:cs="Tahoma"/>
          <w:sz w:val="21"/>
          <w:szCs w:val="21"/>
        </w:rPr>
        <w:t xml:space="preserve">. </w:t>
      </w:r>
    </w:p>
    <w:p w14:paraId="0018224D" w14:textId="77777777" w:rsidR="00302C50" w:rsidRPr="00EA15E7" w:rsidRDefault="00302C50" w:rsidP="007802DE">
      <w:pPr>
        <w:spacing w:after="0"/>
        <w:rPr>
          <w:rFonts w:ascii="Tahoma" w:hAnsi="Tahoma" w:cs="Tahoma"/>
          <w:sz w:val="21"/>
          <w:szCs w:val="21"/>
        </w:rPr>
      </w:pPr>
    </w:p>
    <w:p w14:paraId="0018224E" w14:textId="30A3C9E0" w:rsidR="00302C50" w:rsidRPr="00EA15E7" w:rsidRDefault="00190B0B" w:rsidP="007802DE">
      <w:pPr>
        <w:spacing w:after="0"/>
        <w:rPr>
          <w:rFonts w:ascii="Tahoma" w:hAnsi="Tahoma" w:cs="Tahoma"/>
          <w:sz w:val="21"/>
          <w:szCs w:val="21"/>
        </w:rPr>
      </w:pPr>
      <w:r w:rsidRPr="00EA15E7">
        <w:rPr>
          <w:rFonts w:ascii="Tahoma" w:hAnsi="Tahoma" w:cs="Tahoma"/>
          <w:sz w:val="21"/>
          <w:szCs w:val="21"/>
          <w:u w:val="single"/>
        </w:rPr>
        <w:t>Under current law</w:t>
      </w:r>
      <w:r w:rsidRPr="00EA15E7">
        <w:rPr>
          <w:rFonts w:ascii="Tahoma" w:hAnsi="Tahoma" w:cs="Tahoma"/>
          <w:sz w:val="21"/>
          <w:szCs w:val="21"/>
        </w:rPr>
        <w:t>, low-</w:t>
      </w:r>
      <w:r w:rsidR="007B4C70" w:rsidRPr="00EA15E7">
        <w:rPr>
          <w:rFonts w:ascii="Tahoma" w:hAnsi="Tahoma" w:cs="Tahoma"/>
          <w:sz w:val="21"/>
          <w:szCs w:val="21"/>
        </w:rPr>
        <w:t xml:space="preserve"> and moderate-</w:t>
      </w:r>
      <w:r w:rsidRPr="00EA15E7">
        <w:rPr>
          <w:rFonts w:ascii="Tahoma" w:hAnsi="Tahoma" w:cs="Tahoma"/>
          <w:sz w:val="21"/>
          <w:szCs w:val="21"/>
        </w:rPr>
        <w:t>income individuals are denied the</w:t>
      </w:r>
      <w:r w:rsidR="007873B8" w:rsidRPr="00EA15E7">
        <w:rPr>
          <w:rFonts w:ascii="Tahoma" w:hAnsi="Tahoma" w:cs="Tahoma"/>
          <w:sz w:val="21"/>
          <w:szCs w:val="21"/>
        </w:rPr>
        <w:t xml:space="preserve">ir right </w:t>
      </w:r>
      <w:r w:rsidRPr="00EA15E7">
        <w:rPr>
          <w:rFonts w:ascii="Tahoma" w:hAnsi="Tahoma" w:cs="Tahoma"/>
          <w:sz w:val="21"/>
          <w:szCs w:val="21"/>
        </w:rPr>
        <w:t>to choose the health plan that they believe best meets their needs</w:t>
      </w:r>
      <w:r w:rsidR="007B4C70" w:rsidRPr="00EA15E7">
        <w:rPr>
          <w:rFonts w:ascii="Tahoma" w:hAnsi="Tahoma" w:cs="Tahoma"/>
          <w:sz w:val="21"/>
          <w:szCs w:val="21"/>
        </w:rPr>
        <w:t xml:space="preserve"> if they </w:t>
      </w:r>
      <w:r w:rsidR="000E0D2B" w:rsidRPr="00EA15E7">
        <w:rPr>
          <w:rFonts w:ascii="Tahoma" w:hAnsi="Tahoma" w:cs="Tahoma"/>
          <w:sz w:val="21"/>
          <w:szCs w:val="21"/>
        </w:rPr>
        <w:t>want help paying for their insurance premiums, deductibles and coinsurance.</w:t>
      </w:r>
      <w:r w:rsidRPr="00EA15E7">
        <w:rPr>
          <w:rFonts w:ascii="Tahoma" w:hAnsi="Tahoma" w:cs="Tahoma"/>
          <w:sz w:val="21"/>
          <w:szCs w:val="21"/>
        </w:rPr>
        <w:t xml:space="preserve"> This </w:t>
      </w:r>
      <w:r w:rsidR="00931623" w:rsidRPr="00EA15E7">
        <w:rPr>
          <w:rFonts w:ascii="Tahoma" w:hAnsi="Tahoma" w:cs="Tahoma"/>
          <w:sz w:val="21"/>
          <w:szCs w:val="21"/>
        </w:rPr>
        <w:t>applies to individuals</w:t>
      </w:r>
      <w:r w:rsidR="00797633" w:rsidRPr="00EA15E7">
        <w:rPr>
          <w:rFonts w:ascii="Tahoma" w:hAnsi="Tahoma" w:cs="Tahoma"/>
          <w:sz w:val="21"/>
          <w:szCs w:val="21"/>
        </w:rPr>
        <w:t xml:space="preserve"> whose income is between </w:t>
      </w:r>
      <w:r w:rsidRPr="00EA15E7">
        <w:rPr>
          <w:rFonts w:ascii="Tahoma" w:hAnsi="Tahoma" w:cs="Tahoma"/>
          <w:sz w:val="21"/>
          <w:szCs w:val="21"/>
        </w:rPr>
        <w:t>13</w:t>
      </w:r>
      <w:r w:rsidR="00E50409" w:rsidRPr="00EA15E7">
        <w:rPr>
          <w:rFonts w:ascii="Tahoma" w:hAnsi="Tahoma" w:cs="Tahoma"/>
          <w:sz w:val="21"/>
          <w:szCs w:val="21"/>
        </w:rPr>
        <w:t>8</w:t>
      </w:r>
      <w:r w:rsidR="00797633" w:rsidRPr="00EA15E7">
        <w:rPr>
          <w:rFonts w:ascii="Tahoma" w:hAnsi="Tahoma" w:cs="Tahoma"/>
          <w:sz w:val="21"/>
          <w:szCs w:val="21"/>
        </w:rPr>
        <w:t xml:space="preserve">% &amp; </w:t>
      </w:r>
      <w:r w:rsidRPr="00EA15E7">
        <w:rPr>
          <w:rFonts w:ascii="Tahoma" w:hAnsi="Tahoma" w:cs="Tahoma"/>
          <w:sz w:val="21"/>
          <w:szCs w:val="21"/>
        </w:rPr>
        <w:t xml:space="preserve">200% of FPG. </w:t>
      </w:r>
    </w:p>
    <w:p w14:paraId="0018224F" w14:textId="77777777" w:rsidR="00302C50" w:rsidRPr="00EA15E7" w:rsidRDefault="00302C50" w:rsidP="007802DE">
      <w:pPr>
        <w:spacing w:after="0"/>
        <w:rPr>
          <w:rFonts w:ascii="Tahoma" w:hAnsi="Tahoma" w:cs="Tahoma"/>
          <w:sz w:val="21"/>
          <w:szCs w:val="21"/>
        </w:rPr>
      </w:pPr>
    </w:p>
    <w:p w14:paraId="00182250" w14:textId="5BC47B65" w:rsidR="00775528" w:rsidRPr="00EA15E7" w:rsidRDefault="00170BF3" w:rsidP="007802DE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1"/>
          <w:szCs w:val="21"/>
        </w:rPr>
      </w:pPr>
      <w:proofErr w:type="spellStart"/>
      <w:r w:rsidRPr="00EA15E7">
        <w:rPr>
          <w:rFonts w:ascii="Tahoma" w:hAnsi="Tahoma" w:cs="Tahoma"/>
          <w:sz w:val="21"/>
          <w:szCs w:val="21"/>
        </w:rPr>
        <w:t>MNsure’</w:t>
      </w:r>
      <w:r w:rsidR="00797633" w:rsidRPr="00EA15E7">
        <w:rPr>
          <w:rFonts w:ascii="Tahoma" w:hAnsi="Tahoma" w:cs="Tahoma"/>
          <w:sz w:val="21"/>
          <w:szCs w:val="21"/>
        </w:rPr>
        <w:t>s</w:t>
      </w:r>
      <w:proofErr w:type="spellEnd"/>
      <w:r w:rsidR="00797633" w:rsidRPr="00EA15E7">
        <w:rPr>
          <w:rFonts w:ascii="Tahoma" w:hAnsi="Tahoma" w:cs="Tahoma"/>
          <w:sz w:val="21"/>
          <w:szCs w:val="21"/>
        </w:rPr>
        <w:t xml:space="preserve"> software </w:t>
      </w:r>
      <w:r w:rsidR="00797633" w:rsidRPr="00EA15E7">
        <w:rPr>
          <w:rFonts w:ascii="Tahoma" w:hAnsi="Tahoma" w:cs="Tahoma"/>
          <w:sz w:val="21"/>
          <w:szCs w:val="21"/>
          <w:u w:val="single"/>
        </w:rPr>
        <w:t>automatically enrolls</w:t>
      </w:r>
      <w:r w:rsidRPr="00EA15E7">
        <w:rPr>
          <w:rFonts w:ascii="Tahoma" w:hAnsi="Tahoma" w:cs="Tahoma"/>
          <w:sz w:val="21"/>
          <w:szCs w:val="21"/>
        </w:rPr>
        <w:t xml:space="preserve"> a</w:t>
      </w:r>
      <w:r w:rsidR="00931623" w:rsidRPr="00EA15E7">
        <w:rPr>
          <w:rFonts w:ascii="Tahoma" w:hAnsi="Tahoma" w:cs="Tahoma"/>
          <w:sz w:val="21"/>
          <w:szCs w:val="21"/>
        </w:rPr>
        <w:t xml:space="preserve">ll individuals </w:t>
      </w:r>
      <w:r w:rsidR="00074C54">
        <w:rPr>
          <w:rFonts w:ascii="Tahoma" w:hAnsi="Tahoma" w:cs="Tahoma"/>
          <w:sz w:val="21"/>
          <w:szCs w:val="21"/>
        </w:rPr>
        <w:t xml:space="preserve">who apply for coverage on </w:t>
      </w:r>
      <w:proofErr w:type="spellStart"/>
      <w:r w:rsidR="00074C54">
        <w:rPr>
          <w:rFonts w:ascii="Tahoma" w:hAnsi="Tahoma" w:cs="Tahoma"/>
          <w:sz w:val="21"/>
          <w:szCs w:val="21"/>
        </w:rPr>
        <w:t>MNsure</w:t>
      </w:r>
      <w:proofErr w:type="spellEnd"/>
      <w:r w:rsidR="00074C54">
        <w:rPr>
          <w:rFonts w:ascii="Tahoma" w:hAnsi="Tahoma" w:cs="Tahoma"/>
          <w:sz w:val="21"/>
          <w:szCs w:val="21"/>
        </w:rPr>
        <w:t xml:space="preserve"> that have</w:t>
      </w:r>
      <w:r w:rsidR="00931623" w:rsidRPr="00EA15E7">
        <w:rPr>
          <w:rFonts w:ascii="Tahoma" w:hAnsi="Tahoma" w:cs="Tahoma"/>
          <w:sz w:val="21"/>
          <w:szCs w:val="21"/>
        </w:rPr>
        <w:t xml:space="preserve"> income</w:t>
      </w:r>
      <w:r w:rsidR="00190B0B" w:rsidRPr="00EA15E7">
        <w:rPr>
          <w:rFonts w:ascii="Tahoma" w:hAnsi="Tahoma" w:cs="Tahoma"/>
          <w:sz w:val="21"/>
          <w:szCs w:val="21"/>
        </w:rPr>
        <w:t xml:space="preserve"> </w:t>
      </w:r>
      <w:r w:rsidR="007B4C70" w:rsidRPr="00EA15E7">
        <w:rPr>
          <w:rFonts w:ascii="Tahoma" w:hAnsi="Tahoma" w:cs="Tahoma"/>
          <w:sz w:val="21"/>
          <w:szCs w:val="21"/>
        </w:rPr>
        <w:t>between 138-200%</w:t>
      </w:r>
      <w:r w:rsidR="00797633" w:rsidRPr="00EA15E7">
        <w:rPr>
          <w:rFonts w:ascii="Tahoma" w:hAnsi="Tahoma" w:cs="Tahoma"/>
          <w:sz w:val="21"/>
          <w:szCs w:val="21"/>
        </w:rPr>
        <w:t xml:space="preserve"> of FPG</w:t>
      </w:r>
      <w:r w:rsidR="007B73BF">
        <w:rPr>
          <w:rFonts w:ascii="Tahoma" w:hAnsi="Tahoma" w:cs="Tahoma"/>
          <w:sz w:val="21"/>
          <w:szCs w:val="21"/>
        </w:rPr>
        <w:t xml:space="preserve"> into the BHP</w:t>
      </w:r>
      <w:r w:rsidR="00931623" w:rsidRPr="00EA15E7">
        <w:rPr>
          <w:rFonts w:ascii="Tahoma" w:hAnsi="Tahoma" w:cs="Tahoma"/>
          <w:sz w:val="21"/>
          <w:szCs w:val="21"/>
        </w:rPr>
        <w:t xml:space="preserve">. </w:t>
      </w:r>
      <w:r w:rsidR="00302C50" w:rsidRPr="00EA15E7">
        <w:rPr>
          <w:rFonts w:ascii="Tahoma" w:hAnsi="Tahoma" w:cs="Tahoma"/>
          <w:sz w:val="21"/>
          <w:szCs w:val="21"/>
        </w:rPr>
        <w:t xml:space="preserve">Once </w:t>
      </w:r>
      <w:proofErr w:type="spellStart"/>
      <w:r w:rsidR="00302C50" w:rsidRPr="00EA15E7">
        <w:rPr>
          <w:rFonts w:ascii="Tahoma" w:hAnsi="Tahoma" w:cs="Tahoma"/>
          <w:sz w:val="21"/>
          <w:szCs w:val="21"/>
        </w:rPr>
        <w:t>MNsure</w:t>
      </w:r>
      <w:proofErr w:type="spellEnd"/>
      <w:r w:rsidR="00302C50" w:rsidRPr="00EA15E7">
        <w:rPr>
          <w:rFonts w:ascii="Tahoma" w:hAnsi="Tahoma" w:cs="Tahoma"/>
          <w:sz w:val="21"/>
          <w:szCs w:val="21"/>
        </w:rPr>
        <w:t xml:space="preserve"> </w:t>
      </w:r>
      <w:r w:rsidR="007B4C70" w:rsidRPr="00EA15E7">
        <w:rPr>
          <w:rFonts w:ascii="Tahoma" w:hAnsi="Tahoma" w:cs="Tahoma"/>
          <w:sz w:val="21"/>
          <w:szCs w:val="21"/>
        </w:rPr>
        <w:t xml:space="preserve">has </w:t>
      </w:r>
      <w:r w:rsidR="007B73BF">
        <w:rPr>
          <w:rFonts w:ascii="Tahoma" w:hAnsi="Tahoma" w:cs="Tahoma"/>
          <w:sz w:val="21"/>
          <w:szCs w:val="21"/>
        </w:rPr>
        <w:t>determined that they are eligible for the BHP,</w:t>
      </w:r>
      <w:r w:rsidR="00302C50" w:rsidRPr="00EA15E7">
        <w:rPr>
          <w:rFonts w:ascii="Tahoma" w:hAnsi="Tahoma" w:cs="Tahoma"/>
          <w:sz w:val="21"/>
          <w:szCs w:val="21"/>
        </w:rPr>
        <w:t xml:space="preserve"> they lose their ability to choose a QHP. </w:t>
      </w:r>
      <w:r w:rsidR="007B4C70" w:rsidRPr="00EA15E7">
        <w:rPr>
          <w:rFonts w:ascii="Tahoma" w:hAnsi="Tahoma" w:cs="Tahoma"/>
          <w:sz w:val="21"/>
          <w:szCs w:val="21"/>
        </w:rPr>
        <w:t>T</w:t>
      </w:r>
      <w:r w:rsidRPr="00EA15E7">
        <w:rPr>
          <w:rFonts w:ascii="Tahoma" w:hAnsi="Tahoma" w:cs="Tahoma"/>
          <w:sz w:val="21"/>
          <w:szCs w:val="21"/>
        </w:rPr>
        <w:t>heir only option</w:t>
      </w:r>
      <w:r w:rsidR="00E50409" w:rsidRPr="00EA15E7">
        <w:rPr>
          <w:rFonts w:ascii="Tahoma" w:hAnsi="Tahoma" w:cs="Tahoma"/>
          <w:sz w:val="21"/>
          <w:szCs w:val="21"/>
        </w:rPr>
        <w:t>s</w:t>
      </w:r>
      <w:r w:rsidR="007873B8" w:rsidRPr="00EA15E7">
        <w:rPr>
          <w:rFonts w:ascii="Tahoma" w:hAnsi="Tahoma" w:cs="Tahoma"/>
          <w:sz w:val="21"/>
          <w:szCs w:val="21"/>
        </w:rPr>
        <w:t xml:space="preserve"> </w:t>
      </w:r>
      <w:r w:rsidR="00E50409" w:rsidRPr="00EA15E7">
        <w:rPr>
          <w:rFonts w:ascii="Tahoma" w:hAnsi="Tahoma" w:cs="Tahoma"/>
          <w:sz w:val="21"/>
          <w:szCs w:val="21"/>
        </w:rPr>
        <w:t>are</w:t>
      </w:r>
      <w:r w:rsidRPr="00EA15E7">
        <w:rPr>
          <w:rFonts w:ascii="Tahoma" w:hAnsi="Tahoma" w:cs="Tahoma"/>
          <w:sz w:val="21"/>
          <w:szCs w:val="21"/>
        </w:rPr>
        <w:t xml:space="preserve"> </w:t>
      </w:r>
      <w:r w:rsidR="007802DE" w:rsidRPr="00EA15E7">
        <w:rPr>
          <w:rFonts w:ascii="Tahoma" w:hAnsi="Tahoma" w:cs="Tahoma"/>
          <w:sz w:val="21"/>
          <w:szCs w:val="21"/>
        </w:rPr>
        <w:t xml:space="preserve">to </w:t>
      </w:r>
      <w:r w:rsidRPr="00EA15E7">
        <w:rPr>
          <w:rFonts w:ascii="Tahoma" w:hAnsi="Tahoma" w:cs="Tahoma"/>
          <w:sz w:val="21"/>
          <w:szCs w:val="21"/>
        </w:rPr>
        <w:t xml:space="preserve">accept the </w:t>
      </w:r>
      <w:r w:rsidR="00EA15E7" w:rsidRPr="00EA15E7">
        <w:rPr>
          <w:rFonts w:ascii="Tahoma" w:hAnsi="Tahoma" w:cs="Tahoma"/>
          <w:sz w:val="21"/>
          <w:szCs w:val="21"/>
        </w:rPr>
        <w:t>BHP</w:t>
      </w:r>
      <w:r w:rsidR="00706F06" w:rsidRPr="00EA15E7">
        <w:rPr>
          <w:rFonts w:ascii="Tahoma" w:hAnsi="Tahoma" w:cs="Tahoma"/>
          <w:sz w:val="21"/>
          <w:szCs w:val="21"/>
        </w:rPr>
        <w:t xml:space="preserve">, </w:t>
      </w:r>
      <w:r w:rsidR="00E50409" w:rsidRPr="00EA15E7">
        <w:rPr>
          <w:rFonts w:ascii="Tahoma" w:hAnsi="Tahoma" w:cs="Tahoma"/>
          <w:sz w:val="21"/>
          <w:szCs w:val="21"/>
        </w:rPr>
        <w:t xml:space="preserve">buy outside of </w:t>
      </w:r>
      <w:proofErr w:type="spellStart"/>
      <w:r w:rsidR="00E50409" w:rsidRPr="00EA15E7">
        <w:rPr>
          <w:rFonts w:ascii="Tahoma" w:hAnsi="Tahoma" w:cs="Tahoma"/>
          <w:sz w:val="21"/>
          <w:szCs w:val="21"/>
        </w:rPr>
        <w:t>MNsure</w:t>
      </w:r>
      <w:proofErr w:type="spellEnd"/>
      <w:r w:rsidR="00E50409" w:rsidRPr="00EA15E7">
        <w:rPr>
          <w:rFonts w:ascii="Tahoma" w:hAnsi="Tahoma" w:cs="Tahoma"/>
          <w:sz w:val="21"/>
          <w:szCs w:val="21"/>
        </w:rPr>
        <w:t xml:space="preserve"> without premium tax credits or cost-sharing reductions, </w:t>
      </w:r>
      <w:r w:rsidR="007873B8" w:rsidRPr="00EA15E7">
        <w:rPr>
          <w:rFonts w:ascii="Tahoma" w:hAnsi="Tahoma" w:cs="Tahoma"/>
          <w:sz w:val="21"/>
          <w:szCs w:val="21"/>
        </w:rPr>
        <w:t xml:space="preserve">or go </w:t>
      </w:r>
      <w:r w:rsidR="00706F06" w:rsidRPr="00EA15E7">
        <w:rPr>
          <w:rFonts w:ascii="Tahoma" w:hAnsi="Tahoma" w:cs="Tahoma"/>
          <w:sz w:val="21"/>
          <w:szCs w:val="21"/>
        </w:rPr>
        <w:t>uninsured</w:t>
      </w:r>
      <w:r w:rsidRPr="00EA15E7">
        <w:rPr>
          <w:rFonts w:ascii="Tahoma" w:hAnsi="Tahoma" w:cs="Tahoma"/>
          <w:sz w:val="21"/>
          <w:szCs w:val="21"/>
        </w:rPr>
        <w:t>.</w:t>
      </w:r>
    </w:p>
    <w:p w14:paraId="00182251" w14:textId="6F097C01" w:rsidR="003F06E3" w:rsidRDefault="003F06E3" w:rsidP="003F06E3">
      <w:pPr>
        <w:pStyle w:val="ListParagraph"/>
        <w:spacing w:after="0"/>
        <w:rPr>
          <w:rFonts w:ascii="Tahoma" w:hAnsi="Tahoma" w:cs="Tahoma"/>
          <w:sz w:val="21"/>
          <w:szCs w:val="21"/>
        </w:rPr>
      </w:pPr>
    </w:p>
    <w:p w14:paraId="59E71F75" w14:textId="1BBEB653" w:rsidR="00EA15E7" w:rsidRDefault="00EA15E7" w:rsidP="003F06E3">
      <w:pPr>
        <w:pStyle w:val="ListParagraph"/>
        <w:spacing w:after="0"/>
        <w:rPr>
          <w:rFonts w:ascii="Tahoma" w:hAnsi="Tahoma" w:cs="Tahoma"/>
          <w:sz w:val="21"/>
          <w:szCs w:val="21"/>
        </w:rPr>
      </w:pPr>
    </w:p>
    <w:p w14:paraId="7E653F74" w14:textId="77777777" w:rsidR="00074C54" w:rsidRDefault="00074C54" w:rsidP="003F06E3">
      <w:pPr>
        <w:pStyle w:val="ListParagraph"/>
        <w:spacing w:after="0"/>
        <w:rPr>
          <w:rFonts w:ascii="Tahoma" w:hAnsi="Tahoma" w:cs="Tahoma"/>
          <w:sz w:val="21"/>
          <w:szCs w:val="21"/>
        </w:rPr>
      </w:pPr>
    </w:p>
    <w:p w14:paraId="5914AE54" w14:textId="77777777" w:rsidR="00074C54" w:rsidRPr="00074C54" w:rsidRDefault="00074C54" w:rsidP="00074C54">
      <w:pPr>
        <w:pStyle w:val="ListParagraph"/>
        <w:spacing w:after="0"/>
        <w:rPr>
          <w:rFonts w:ascii="Tahoma" w:hAnsi="Tahoma" w:cs="Tahoma"/>
          <w:sz w:val="21"/>
          <w:szCs w:val="21"/>
        </w:rPr>
      </w:pPr>
    </w:p>
    <w:p w14:paraId="00182252" w14:textId="2D7E15BD" w:rsidR="004E6ABF" w:rsidRPr="00EA15E7" w:rsidRDefault="00EA15E7" w:rsidP="00EA15E7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u w:val="single"/>
        </w:rPr>
        <w:t>Families Split Between Plans</w:t>
      </w:r>
      <w:r w:rsidR="007802DE" w:rsidRPr="00EA15E7">
        <w:rPr>
          <w:rFonts w:ascii="Tahoma" w:hAnsi="Tahoma" w:cs="Tahoma"/>
          <w:sz w:val="21"/>
          <w:szCs w:val="21"/>
        </w:rPr>
        <w:t xml:space="preserve">: </w:t>
      </w:r>
      <w:r w:rsidR="00931623" w:rsidRPr="00EA15E7">
        <w:rPr>
          <w:rFonts w:ascii="Tahoma" w:hAnsi="Tahoma" w:cs="Tahoma"/>
          <w:sz w:val="21"/>
          <w:szCs w:val="21"/>
        </w:rPr>
        <w:t xml:space="preserve">In </w:t>
      </w:r>
      <w:r w:rsidR="007B4C70" w:rsidRPr="00EA15E7">
        <w:rPr>
          <w:rFonts w:ascii="Tahoma" w:hAnsi="Tahoma" w:cs="Tahoma"/>
          <w:sz w:val="21"/>
          <w:szCs w:val="21"/>
        </w:rPr>
        <w:t>many</w:t>
      </w:r>
      <w:r w:rsidR="00931623" w:rsidRPr="00EA15E7">
        <w:rPr>
          <w:rFonts w:ascii="Tahoma" w:hAnsi="Tahoma" w:cs="Tahoma"/>
          <w:sz w:val="21"/>
          <w:szCs w:val="21"/>
        </w:rPr>
        <w:t xml:space="preserve"> cases, dependents are auto-enrolled into </w:t>
      </w:r>
      <w:r w:rsidR="007B73BF">
        <w:rPr>
          <w:rFonts w:ascii="Tahoma" w:hAnsi="Tahoma" w:cs="Tahoma"/>
          <w:sz w:val="21"/>
          <w:szCs w:val="21"/>
        </w:rPr>
        <w:t>the BHP</w:t>
      </w:r>
      <w:r w:rsidR="00931623" w:rsidRPr="00EA15E7">
        <w:rPr>
          <w:rFonts w:ascii="Tahoma" w:hAnsi="Tahoma" w:cs="Tahoma"/>
          <w:sz w:val="21"/>
          <w:szCs w:val="21"/>
        </w:rPr>
        <w:t xml:space="preserve"> even though their parents do not qualify. Parents </w:t>
      </w:r>
      <w:r w:rsidR="007B4C70" w:rsidRPr="00EA15E7">
        <w:rPr>
          <w:rFonts w:ascii="Tahoma" w:hAnsi="Tahoma" w:cs="Tahoma"/>
          <w:sz w:val="21"/>
          <w:szCs w:val="21"/>
        </w:rPr>
        <w:t>might</w:t>
      </w:r>
      <w:r w:rsidR="007802DE" w:rsidRPr="00EA15E7">
        <w:rPr>
          <w:rFonts w:ascii="Tahoma" w:hAnsi="Tahoma" w:cs="Tahoma"/>
          <w:sz w:val="21"/>
          <w:szCs w:val="21"/>
        </w:rPr>
        <w:t xml:space="preserve"> </w:t>
      </w:r>
      <w:r w:rsidR="00931623" w:rsidRPr="00EA15E7">
        <w:rPr>
          <w:rFonts w:ascii="Tahoma" w:hAnsi="Tahoma" w:cs="Tahoma"/>
          <w:sz w:val="21"/>
          <w:szCs w:val="21"/>
        </w:rPr>
        <w:t xml:space="preserve">choose a QHP through </w:t>
      </w:r>
      <w:proofErr w:type="spellStart"/>
      <w:r w:rsidR="00931623" w:rsidRPr="00EA15E7">
        <w:rPr>
          <w:rFonts w:ascii="Tahoma" w:hAnsi="Tahoma" w:cs="Tahoma"/>
          <w:sz w:val="21"/>
          <w:szCs w:val="21"/>
        </w:rPr>
        <w:t>MNsure</w:t>
      </w:r>
      <w:proofErr w:type="spellEnd"/>
      <w:r w:rsidR="00931623" w:rsidRPr="00EA15E7">
        <w:rPr>
          <w:rFonts w:ascii="Tahoma" w:hAnsi="Tahoma" w:cs="Tahoma"/>
          <w:sz w:val="21"/>
          <w:szCs w:val="21"/>
        </w:rPr>
        <w:t xml:space="preserve">, and desire their children to have access to the same providers, but are denied </w:t>
      </w:r>
      <w:r w:rsidR="007B4C70" w:rsidRPr="00EA15E7">
        <w:rPr>
          <w:rFonts w:ascii="Tahoma" w:hAnsi="Tahoma" w:cs="Tahoma"/>
          <w:sz w:val="21"/>
          <w:szCs w:val="21"/>
        </w:rPr>
        <w:t>the</w:t>
      </w:r>
      <w:r w:rsidR="00302C50" w:rsidRPr="00EA15E7">
        <w:rPr>
          <w:rFonts w:ascii="Tahoma" w:hAnsi="Tahoma" w:cs="Tahoma"/>
          <w:sz w:val="21"/>
          <w:szCs w:val="21"/>
        </w:rPr>
        <w:t xml:space="preserve"> right to choose</w:t>
      </w:r>
      <w:r w:rsidR="007B4C70" w:rsidRPr="00EA15E7">
        <w:rPr>
          <w:rFonts w:ascii="Tahoma" w:hAnsi="Tahoma" w:cs="Tahoma"/>
          <w:sz w:val="21"/>
          <w:szCs w:val="21"/>
        </w:rPr>
        <w:t xml:space="preserve"> coverage for their children</w:t>
      </w:r>
      <w:r w:rsidR="00931623" w:rsidRPr="00EA15E7">
        <w:rPr>
          <w:rFonts w:ascii="Tahoma" w:hAnsi="Tahoma" w:cs="Tahoma"/>
          <w:sz w:val="21"/>
          <w:szCs w:val="21"/>
        </w:rPr>
        <w:t>.</w:t>
      </w:r>
    </w:p>
    <w:p w14:paraId="00182255" w14:textId="77777777" w:rsidR="00E50409" w:rsidRPr="00EA15E7" w:rsidRDefault="00E50409" w:rsidP="00706F06">
      <w:pPr>
        <w:spacing w:after="0"/>
        <w:rPr>
          <w:rFonts w:ascii="Tahoma" w:hAnsi="Tahoma" w:cs="Tahoma"/>
          <w:sz w:val="21"/>
          <w:szCs w:val="21"/>
        </w:rPr>
      </w:pPr>
    </w:p>
    <w:p w14:paraId="00182257" w14:textId="77777777" w:rsidR="004E6ABF" w:rsidRPr="00EA15E7" w:rsidRDefault="00170BF3" w:rsidP="000826B7">
      <w:pPr>
        <w:pStyle w:val="ListParagraph"/>
        <w:numPr>
          <w:ilvl w:val="0"/>
          <w:numId w:val="2"/>
        </w:numPr>
        <w:spacing w:after="140"/>
        <w:rPr>
          <w:rFonts w:ascii="Tahoma" w:hAnsi="Tahoma" w:cs="Tahoma"/>
          <w:sz w:val="21"/>
          <w:szCs w:val="21"/>
        </w:rPr>
      </w:pPr>
      <w:r w:rsidRPr="00EA15E7">
        <w:rPr>
          <w:rFonts w:ascii="Tahoma" w:hAnsi="Tahoma" w:cs="Tahoma"/>
          <w:sz w:val="21"/>
          <w:szCs w:val="21"/>
        </w:rPr>
        <w:t>Low-</w:t>
      </w:r>
      <w:r w:rsidR="007B4C70" w:rsidRPr="00EA15E7">
        <w:rPr>
          <w:rFonts w:ascii="Tahoma" w:hAnsi="Tahoma" w:cs="Tahoma"/>
          <w:sz w:val="21"/>
          <w:szCs w:val="21"/>
        </w:rPr>
        <w:t xml:space="preserve"> and moderate-</w:t>
      </w:r>
      <w:r w:rsidR="00B918D3" w:rsidRPr="00EA15E7">
        <w:rPr>
          <w:rFonts w:ascii="Tahoma" w:hAnsi="Tahoma" w:cs="Tahoma"/>
          <w:sz w:val="21"/>
          <w:szCs w:val="21"/>
        </w:rPr>
        <w:t xml:space="preserve">income </w:t>
      </w:r>
      <w:r w:rsidRPr="00EA15E7">
        <w:rPr>
          <w:rFonts w:ascii="Tahoma" w:hAnsi="Tahoma" w:cs="Tahoma"/>
          <w:sz w:val="21"/>
          <w:szCs w:val="21"/>
        </w:rPr>
        <w:t>enrollees</w:t>
      </w:r>
      <w:r w:rsidR="002A52E9" w:rsidRPr="00EA15E7">
        <w:rPr>
          <w:rFonts w:ascii="Tahoma" w:hAnsi="Tahoma" w:cs="Tahoma"/>
          <w:sz w:val="21"/>
          <w:szCs w:val="21"/>
        </w:rPr>
        <w:t>:</w:t>
      </w:r>
      <w:r w:rsidRPr="00EA15E7">
        <w:rPr>
          <w:rFonts w:ascii="Tahoma" w:hAnsi="Tahoma" w:cs="Tahoma"/>
          <w:sz w:val="21"/>
          <w:szCs w:val="21"/>
        </w:rPr>
        <w:t xml:space="preserve"> </w:t>
      </w:r>
    </w:p>
    <w:p w14:paraId="00182258" w14:textId="77777777" w:rsidR="004E6ABF" w:rsidRPr="00EA15E7" w:rsidRDefault="00170BF3" w:rsidP="000826B7">
      <w:pPr>
        <w:pStyle w:val="ListParagraph"/>
        <w:numPr>
          <w:ilvl w:val="1"/>
          <w:numId w:val="2"/>
        </w:numPr>
        <w:spacing w:after="140"/>
        <w:ind w:left="1260"/>
        <w:rPr>
          <w:rFonts w:ascii="Tahoma" w:hAnsi="Tahoma" w:cs="Tahoma"/>
          <w:sz w:val="21"/>
          <w:szCs w:val="21"/>
        </w:rPr>
      </w:pPr>
      <w:r w:rsidRPr="00EA15E7">
        <w:rPr>
          <w:rFonts w:ascii="Tahoma" w:hAnsi="Tahoma" w:cs="Tahoma"/>
          <w:sz w:val="21"/>
          <w:szCs w:val="21"/>
        </w:rPr>
        <w:t>Are denied access to cost-</w:t>
      </w:r>
      <w:r w:rsidR="00B918D3" w:rsidRPr="00EA15E7">
        <w:rPr>
          <w:rFonts w:ascii="Tahoma" w:hAnsi="Tahoma" w:cs="Tahoma"/>
          <w:sz w:val="21"/>
          <w:szCs w:val="21"/>
        </w:rPr>
        <w:t xml:space="preserve">sharing reductions that </w:t>
      </w:r>
      <w:r w:rsidRPr="007B73BF">
        <w:rPr>
          <w:rFonts w:ascii="Tahoma" w:hAnsi="Tahoma" w:cs="Tahoma"/>
          <w:sz w:val="21"/>
          <w:szCs w:val="21"/>
          <w:u w:val="single"/>
        </w:rPr>
        <w:t xml:space="preserve">can </w:t>
      </w:r>
      <w:r w:rsidR="00B918D3" w:rsidRPr="007B73BF">
        <w:rPr>
          <w:rFonts w:ascii="Tahoma" w:hAnsi="Tahoma" w:cs="Tahoma"/>
          <w:sz w:val="21"/>
          <w:szCs w:val="21"/>
          <w:u w:val="single"/>
        </w:rPr>
        <w:t xml:space="preserve">turn </w:t>
      </w:r>
      <w:r w:rsidRPr="007B73BF">
        <w:rPr>
          <w:rFonts w:ascii="Tahoma" w:hAnsi="Tahoma" w:cs="Tahoma"/>
          <w:sz w:val="21"/>
          <w:szCs w:val="21"/>
          <w:u w:val="single"/>
        </w:rPr>
        <w:t xml:space="preserve">a </w:t>
      </w:r>
      <w:r w:rsidR="00B918D3" w:rsidRPr="007B73BF">
        <w:rPr>
          <w:rFonts w:ascii="Tahoma" w:hAnsi="Tahoma" w:cs="Tahoma"/>
          <w:sz w:val="21"/>
          <w:szCs w:val="21"/>
          <w:u w:val="single"/>
        </w:rPr>
        <w:t>silver</w:t>
      </w:r>
      <w:r w:rsidRPr="007B73BF">
        <w:rPr>
          <w:rFonts w:ascii="Tahoma" w:hAnsi="Tahoma" w:cs="Tahoma"/>
          <w:sz w:val="21"/>
          <w:szCs w:val="21"/>
          <w:u w:val="single"/>
        </w:rPr>
        <w:t xml:space="preserve"> health plan to a </w:t>
      </w:r>
      <w:r w:rsidR="00B918D3" w:rsidRPr="007B73BF">
        <w:rPr>
          <w:rFonts w:ascii="Tahoma" w:hAnsi="Tahoma" w:cs="Tahoma"/>
          <w:sz w:val="21"/>
          <w:szCs w:val="21"/>
          <w:u w:val="single"/>
        </w:rPr>
        <w:t>platinum plan</w:t>
      </w:r>
      <w:r w:rsidR="00B918D3" w:rsidRPr="00EA15E7">
        <w:rPr>
          <w:rFonts w:ascii="Tahoma" w:hAnsi="Tahoma" w:cs="Tahoma"/>
          <w:sz w:val="21"/>
          <w:szCs w:val="21"/>
        </w:rPr>
        <w:t xml:space="preserve"> </w:t>
      </w:r>
      <w:r w:rsidRPr="00EA15E7">
        <w:rPr>
          <w:rFonts w:ascii="Tahoma" w:hAnsi="Tahoma" w:cs="Tahoma"/>
          <w:sz w:val="21"/>
          <w:szCs w:val="21"/>
        </w:rPr>
        <w:t>using a QHP</w:t>
      </w:r>
      <w:r w:rsidR="00B918D3" w:rsidRPr="00EA15E7">
        <w:rPr>
          <w:rFonts w:ascii="Tahoma" w:hAnsi="Tahoma" w:cs="Tahoma"/>
          <w:sz w:val="21"/>
          <w:szCs w:val="21"/>
        </w:rPr>
        <w:t>.</w:t>
      </w:r>
    </w:p>
    <w:p w14:paraId="00182259" w14:textId="36522ECA" w:rsidR="007802DE" w:rsidRPr="00EA15E7" w:rsidRDefault="002A52E9" w:rsidP="000826B7">
      <w:pPr>
        <w:pStyle w:val="ListParagraph"/>
        <w:numPr>
          <w:ilvl w:val="1"/>
          <w:numId w:val="2"/>
        </w:numPr>
        <w:spacing w:after="140"/>
        <w:ind w:left="1260"/>
        <w:rPr>
          <w:rFonts w:ascii="Tahoma" w:hAnsi="Tahoma" w:cs="Tahoma"/>
          <w:sz w:val="21"/>
          <w:szCs w:val="21"/>
        </w:rPr>
      </w:pPr>
      <w:r w:rsidRPr="00EA15E7">
        <w:rPr>
          <w:rFonts w:ascii="Tahoma" w:hAnsi="Tahoma" w:cs="Tahoma"/>
          <w:sz w:val="21"/>
          <w:szCs w:val="21"/>
        </w:rPr>
        <w:t>May los</w:t>
      </w:r>
      <w:r w:rsidR="007B4C70" w:rsidRPr="00EA15E7">
        <w:rPr>
          <w:rFonts w:ascii="Tahoma" w:hAnsi="Tahoma" w:cs="Tahoma"/>
          <w:sz w:val="21"/>
          <w:szCs w:val="21"/>
        </w:rPr>
        <w:t xml:space="preserve">e access to timely medical care. </w:t>
      </w:r>
      <w:r w:rsidR="00170BF3" w:rsidRPr="00EA15E7">
        <w:rPr>
          <w:rFonts w:ascii="Tahoma" w:hAnsi="Tahoma" w:cs="Tahoma"/>
          <w:sz w:val="21"/>
          <w:szCs w:val="21"/>
        </w:rPr>
        <w:t xml:space="preserve">Minnesota’s medical </w:t>
      </w:r>
      <w:r w:rsidR="00B918D3" w:rsidRPr="00EA15E7">
        <w:rPr>
          <w:rFonts w:ascii="Tahoma" w:hAnsi="Tahoma" w:cs="Tahoma"/>
          <w:sz w:val="21"/>
          <w:szCs w:val="21"/>
        </w:rPr>
        <w:t xml:space="preserve">providers </w:t>
      </w:r>
      <w:r w:rsidR="00170BF3" w:rsidRPr="00EA15E7">
        <w:rPr>
          <w:rFonts w:ascii="Tahoma" w:hAnsi="Tahoma" w:cs="Tahoma"/>
          <w:sz w:val="21"/>
          <w:szCs w:val="21"/>
        </w:rPr>
        <w:t xml:space="preserve">are </w:t>
      </w:r>
      <w:r w:rsidR="00F72F87" w:rsidRPr="00EA15E7">
        <w:rPr>
          <w:rFonts w:ascii="Tahoma" w:hAnsi="Tahoma" w:cs="Tahoma"/>
          <w:sz w:val="21"/>
          <w:szCs w:val="21"/>
        </w:rPr>
        <w:t xml:space="preserve">generally </w:t>
      </w:r>
      <w:r w:rsidR="00170BF3" w:rsidRPr="00EA15E7">
        <w:rPr>
          <w:rFonts w:ascii="Tahoma" w:hAnsi="Tahoma" w:cs="Tahoma"/>
          <w:sz w:val="21"/>
          <w:szCs w:val="21"/>
        </w:rPr>
        <w:t>paid less to provide medical care to a</w:t>
      </w:r>
      <w:r w:rsidR="00B918D3" w:rsidRPr="00EA15E7">
        <w:rPr>
          <w:rFonts w:ascii="Tahoma" w:hAnsi="Tahoma" w:cs="Tahoma"/>
          <w:sz w:val="21"/>
          <w:szCs w:val="21"/>
        </w:rPr>
        <w:t xml:space="preserve"> </w:t>
      </w:r>
      <w:r w:rsidR="007B73BF">
        <w:rPr>
          <w:rFonts w:ascii="Tahoma" w:hAnsi="Tahoma" w:cs="Tahoma"/>
          <w:sz w:val="21"/>
          <w:szCs w:val="21"/>
        </w:rPr>
        <w:t>public program</w:t>
      </w:r>
      <w:r w:rsidR="000826B7" w:rsidRPr="00EA15E7">
        <w:rPr>
          <w:rFonts w:ascii="Tahoma" w:hAnsi="Tahoma" w:cs="Tahoma"/>
          <w:sz w:val="21"/>
          <w:szCs w:val="21"/>
        </w:rPr>
        <w:t xml:space="preserve"> </w:t>
      </w:r>
      <w:r w:rsidR="00074C54">
        <w:rPr>
          <w:rFonts w:ascii="Tahoma" w:hAnsi="Tahoma" w:cs="Tahoma"/>
          <w:sz w:val="21"/>
          <w:szCs w:val="21"/>
        </w:rPr>
        <w:t>patient</w:t>
      </w:r>
      <w:r w:rsidR="000826B7" w:rsidRPr="00EA15E7">
        <w:rPr>
          <w:rFonts w:ascii="Tahoma" w:hAnsi="Tahoma" w:cs="Tahoma"/>
          <w:sz w:val="21"/>
          <w:szCs w:val="21"/>
        </w:rPr>
        <w:t xml:space="preserve"> than to one with </w:t>
      </w:r>
      <w:r w:rsidR="00706F06" w:rsidRPr="00EA15E7">
        <w:rPr>
          <w:rFonts w:ascii="Tahoma" w:hAnsi="Tahoma" w:cs="Tahoma"/>
          <w:sz w:val="21"/>
          <w:szCs w:val="21"/>
        </w:rPr>
        <w:t>a QHP</w:t>
      </w:r>
      <w:r w:rsidR="00B918D3" w:rsidRPr="00EA15E7">
        <w:rPr>
          <w:rFonts w:ascii="Tahoma" w:hAnsi="Tahoma" w:cs="Tahoma"/>
          <w:sz w:val="21"/>
          <w:szCs w:val="21"/>
        </w:rPr>
        <w:t xml:space="preserve">. </w:t>
      </w:r>
      <w:r w:rsidR="00170BF3" w:rsidRPr="00EA15E7">
        <w:rPr>
          <w:rFonts w:ascii="Tahoma" w:hAnsi="Tahoma" w:cs="Tahoma"/>
          <w:sz w:val="21"/>
          <w:szCs w:val="21"/>
        </w:rPr>
        <w:t xml:space="preserve">A large and growing number of physicians </w:t>
      </w:r>
      <w:r w:rsidR="00EA15E7" w:rsidRPr="00EA15E7">
        <w:rPr>
          <w:rFonts w:ascii="Tahoma" w:hAnsi="Tahoma" w:cs="Tahoma"/>
          <w:sz w:val="21"/>
          <w:szCs w:val="21"/>
        </w:rPr>
        <w:t xml:space="preserve">limit the number of </w:t>
      </w:r>
      <w:r w:rsidR="007B73BF">
        <w:rPr>
          <w:rFonts w:ascii="Tahoma" w:hAnsi="Tahoma" w:cs="Tahoma"/>
          <w:sz w:val="21"/>
          <w:szCs w:val="21"/>
        </w:rPr>
        <w:t xml:space="preserve">appointment times available for </w:t>
      </w:r>
      <w:r w:rsidR="00EA15E7" w:rsidRPr="00EA15E7">
        <w:rPr>
          <w:rFonts w:ascii="Tahoma" w:hAnsi="Tahoma" w:cs="Tahoma"/>
          <w:sz w:val="21"/>
          <w:szCs w:val="21"/>
        </w:rPr>
        <w:t xml:space="preserve">public plan enrollees due to </w:t>
      </w:r>
      <w:r w:rsidR="007B73BF">
        <w:rPr>
          <w:rFonts w:ascii="Tahoma" w:hAnsi="Tahoma" w:cs="Tahoma"/>
          <w:sz w:val="21"/>
          <w:szCs w:val="21"/>
        </w:rPr>
        <w:t xml:space="preserve">inadequate </w:t>
      </w:r>
      <w:r w:rsidR="00706F06" w:rsidRPr="00EA15E7">
        <w:rPr>
          <w:rFonts w:ascii="Tahoma" w:hAnsi="Tahoma" w:cs="Tahoma"/>
          <w:sz w:val="21"/>
          <w:szCs w:val="21"/>
        </w:rPr>
        <w:t>reimbursements</w:t>
      </w:r>
      <w:r w:rsidR="00074C54">
        <w:rPr>
          <w:rFonts w:ascii="Tahoma" w:hAnsi="Tahoma" w:cs="Tahoma"/>
          <w:sz w:val="21"/>
          <w:szCs w:val="21"/>
        </w:rPr>
        <w:t>, creating serious access problems for this population.</w:t>
      </w:r>
    </w:p>
    <w:p w14:paraId="0018225B" w14:textId="77777777" w:rsidR="004E6ABF" w:rsidRPr="00EA15E7" w:rsidRDefault="004E6ABF" w:rsidP="000826B7">
      <w:pPr>
        <w:pStyle w:val="ListParagraph"/>
        <w:spacing w:after="140"/>
        <w:ind w:left="1440"/>
        <w:rPr>
          <w:rFonts w:ascii="Tahoma" w:hAnsi="Tahoma" w:cs="Tahoma"/>
          <w:sz w:val="21"/>
          <w:szCs w:val="21"/>
        </w:rPr>
      </w:pPr>
    </w:p>
    <w:p w14:paraId="0018225E" w14:textId="0EE8DFFC" w:rsidR="00170BF3" w:rsidRPr="00EA15E7" w:rsidRDefault="00B918D3" w:rsidP="000826B7">
      <w:pPr>
        <w:pStyle w:val="ListParagraph"/>
        <w:numPr>
          <w:ilvl w:val="0"/>
          <w:numId w:val="2"/>
        </w:numPr>
        <w:spacing w:after="140"/>
        <w:rPr>
          <w:rFonts w:ascii="Tahoma" w:hAnsi="Tahoma" w:cs="Tahoma"/>
          <w:sz w:val="21"/>
          <w:szCs w:val="21"/>
        </w:rPr>
      </w:pPr>
      <w:proofErr w:type="spellStart"/>
      <w:r w:rsidRPr="00EA15E7">
        <w:rPr>
          <w:rFonts w:ascii="Tahoma" w:hAnsi="Tahoma" w:cs="Tahoma"/>
          <w:sz w:val="21"/>
          <w:szCs w:val="21"/>
        </w:rPr>
        <w:t>MNSure</w:t>
      </w:r>
      <w:proofErr w:type="spellEnd"/>
      <w:r w:rsidRPr="00EA15E7">
        <w:rPr>
          <w:rFonts w:ascii="Tahoma" w:hAnsi="Tahoma" w:cs="Tahoma"/>
          <w:sz w:val="21"/>
          <w:szCs w:val="21"/>
        </w:rPr>
        <w:t xml:space="preserve"> </w:t>
      </w:r>
      <w:r w:rsidR="00170BF3" w:rsidRPr="00EA15E7">
        <w:rPr>
          <w:rFonts w:ascii="Tahoma" w:hAnsi="Tahoma" w:cs="Tahoma"/>
          <w:sz w:val="21"/>
          <w:szCs w:val="21"/>
        </w:rPr>
        <w:t>cannot collect its 3.5% premium fee</w:t>
      </w:r>
      <w:bookmarkStart w:id="0" w:name="_GoBack"/>
      <w:bookmarkEnd w:id="0"/>
      <w:r w:rsidR="00170BF3" w:rsidRPr="00EA15E7">
        <w:rPr>
          <w:rFonts w:ascii="Tahoma" w:hAnsi="Tahoma" w:cs="Tahoma"/>
          <w:sz w:val="21"/>
          <w:szCs w:val="21"/>
        </w:rPr>
        <w:t xml:space="preserve"> </w:t>
      </w:r>
      <w:r w:rsidR="007802DE" w:rsidRPr="00EA15E7">
        <w:rPr>
          <w:rFonts w:ascii="Tahoma" w:hAnsi="Tahoma" w:cs="Tahoma"/>
          <w:sz w:val="21"/>
          <w:szCs w:val="21"/>
        </w:rPr>
        <w:t xml:space="preserve">on thousands of </w:t>
      </w:r>
      <w:r w:rsidR="00170BF3" w:rsidRPr="00EA15E7">
        <w:rPr>
          <w:rFonts w:ascii="Tahoma" w:hAnsi="Tahoma" w:cs="Tahoma"/>
          <w:sz w:val="21"/>
          <w:szCs w:val="21"/>
        </w:rPr>
        <w:t xml:space="preserve">individuals enrolled in </w:t>
      </w:r>
      <w:r w:rsidR="007B73BF">
        <w:rPr>
          <w:rFonts w:ascii="Tahoma" w:hAnsi="Tahoma" w:cs="Tahoma"/>
          <w:sz w:val="21"/>
          <w:szCs w:val="21"/>
        </w:rPr>
        <w:t>the BHP</w:t>
      </w:r>
      <w:r w:rsidR="00170BF3" w:rsidRPr="00EA15E7">
        <w:rPr>
          <w:rFonts w:ascii="Tahoma" w:hAnsi="Tahoma" w:cs="Tahoma"/>
          <w:sz w:val="21"/>
          <w:szCs w:val="21"/>
        </w:rPr>
        <w:t>, put</w:t>
      </w:r>
      <w:r w:rsidR="007B73BF">
        <w:rPr>
          <w:rFonts w:ascii="Tahoma" w:hAnsi="Tahoma" w:cs="Tahoma"/>
          <w:sz w:val="21"/>
          <w:szCs w:val="21"/>
        </w:rPr>
        <w:t>ting</w:t>
      </w:r>
      <w:r w:rsidR="00170BF3" w:rsidRPr="00EA15E7">
        <w:rPr>
          <w:rFonts w:ascii="Tahoma" w:hAnsi="Tahoma" w:cs="Tahoma"/>
          <w:sz w:val="21"/>
          <w:szCs w:val="21"/>
        </w:rPr>
        <w:t xml:space="preserve"> additional stress on </w:t>
      </w:r>
      <w:proofErr w:type="spellStart"/>
      <w:r w:rsidR="00170BF3" w:rsidRPr="00EA15E7">
        <w:rPr>
          <w:rFonts w:ascii="Tahoma" w:hAnsi="Tahoma" w:cs="Tahoma"/>
          <w:sz w:val="21"/>
          <w:szCs w:val="21"/>
        </w:rPr>
        <w:t>MNsure’s</w:t>
      </w:r>
      <w:proofErr w:type="spellEnd"/>
      <w:r w:rsidR="00170BF3" w:rsidRPr="00EA15E7">
        <w:rPr>
          <w:rFonts w:ascii="Tahoma" w:hAnsi="Tahoma" w:cs="Tahoma"/>
          <w:sz w:val="21"/>
          <w:szCs w:val="21"/>
        </w:rPr>
        <w:t xml:space="preserve"> funding</w:t>
      </w:r>
      <w:r w:rsidR="00EA15E7" w:rsidRPr="00EA15E7">
        <w:rPr>
          <w:rFonts w:ascii="Tahoma" w:hAnsi="Tahoma" w:cs="Tahoma"/>
          <w:sz w:val="21"/>
          <w:szCs w:val="21"/>
        </w:rPr>
        <w:t>.</w:t>
      </w:r>
    </w:p>
    <w:p w14:paraId="0018225F" w14:textId="77777777" w:rsidR="003F06E3" w:rsidRPr="00EA15E7" w:rsidRDefault="003F06E3" w:rsidP="003F06E3">
      <w:pPr>
        <w:pStyle w:val="ListParagraph"/>
        <w:spacing w:after="140"/>
        <w:rPr>
          <w:rFonts w:ascii="Tahoma" w:hAnsi="Tahoma" w:cs="Tahoma"/>
          <w:sz w:val="21"/>
          <w:szCs w:val="21"/>
        </w:rPr>
      </w:pPr>
    </w:p>
    <w:p w14:paraId="00182262" w14:textId="27B7246A" w:rsidR="000826B7" w:rsidRPr="00EA15E7" w:rsidRDefault="000826B7" w:rsidP="000826B7">
      <w:pPr>
        <w:pStyle w:val="ListParagraph"/>
        <w:numPr>
          <w:ilvl w:val="0"/>
          <w:numId w:val="2"/>
        </w:numPr>
        <w:spacing w:after="140"/>
        <w:rPr>
          <w:rFonts w:ascii="Tahoma" w:hAnsi="Tahoma" w:cs="Tahoma"/>
          <w:sz w:val="21"/>
          <w:szCs w:val="21"/>
        </w:rPr>
      </w:pPr>
      <w:r w:rsidRPr="00EA15E7">
        <w:rPr>
          <w:rFonts w:ascii="Tahoma" w:hAnsi="Tahoma" w:cs="Tahoma"/>
          <w:sz w:val="21"/>
          <w:szCs w:val="21"/>
        </w:rPr>
        <w:t xml:space="preserve">Some individuals auto-enrolled in </w:t>
      </w:r>
      <w:r w:rsidR="007B73BF">
        <w:rPr>
          <w:rFonts w:ascii="Tahoma" w:hAnsi="Tahoma" w:cs="Tahoma"/>
          <w:sz w:val="21"/>
          <w:szCs w:val="21"/>
        </w:rPr>
        <w:t>the BHP</w:t>
      </w:r>
      <w:r w:rsidRPr="00EA15E7">
        <w:rPr>
          <w:rFonts w:ascii="Tahoma" w:hAnsi="Tahoma" w:cs="Tahoma"/>
          <w:sz w:val="21"/>
          <w:szCs w:val="21"/>
        </w:rPr>
        <w:t xml:space="preserve"> have also purchased coverage in the private marketplace</w:t>
      </w:r>
      <w:r w:rsidR="008F3323" w:rsidRPr="00EA15E7">
        <w:rPr>
          <w:rFonts w:ascii="Tahoma" w:hAnsi="Tahoma" w:cs="Tahoma"/>
          <w:sz w:val="21"/>
          <w:szCs w:val="21"/>
        </w:rPr>
        <w:t xml:space="preserve"> resulting in double coverage</w:t>
      </w:r>
      <w:r w:rsidRPr="00EA15E7">
        <w:rPr>
          <w:rFonts w:ascii="Tahoma" w:hAnsi="Tahoma" w:cs="Tahoma"/>
          <w:sz w:val="21"/>
          <w:szCs w:val="21"/>
        </w:rPr>
        <w:t xml:space="preserve">. The state wastes taxpayers’ money paying for </w:t>
      </w:r>
      <w:r w:rsidR="007873B8" w:rsidRPr="00EA15E7">
        <w:rPr>
          <w:rFonts w:ascii="Tahoma" w:hAnsi="Tahoma" w:cs="Tahoma"/>
          <w:sz w:val="21"/>
          <w:szCs w:val="21"/>
        </w:rPr>
        <w:t xml:space="preserve">public </w:t>
      </w:r>
      <w:r w:rsidRPr="00EA15E7">
        <w:rPr>
          <w:rFonts w:ascii="Tahoma" w:hAnsi="Tahoma" w:cs="Tahoma"/>
          <w:sz w:val="21"/>
          <w:szCs w:val="21"/>
        </w:rPr>
        <w:t>coverage no</w:t>
      </w:r>
      <w:r w:rsidR="007873B8" w:rsidRPr="00EA15E7">
        <w:rPr>
          <w:rFonts w:ascii="Tahoma" w:hAnsi="Tahoma" w:cs="Tahoma"/>
          <w:sz w:val="21"/>
          <w:szCs w:val="21"/>
        </w:rPr>
        <w:t>t being used</w:t>
      </w:r>
      <w:r w:rsidRPr="00EA15E7">
        <w:rPr>
          <w:rFonts w:ascii="Tahoma" w:hAnsi="Tahoma" w:cs="Tahoma"/>
          <w:sz w:val="21"/>
          <w:szCs w:val="21"/>
        </w:rPr>
        <w:t>.</w:t>
      </w:r>
    </w:p>
    <w:sectPr w:rsidR="000826B7" w:rsidRPr="00EA15E7" w:rsidSect="00775528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BBF"/>
    <w:multiLevelType w:val="hybridMultilevel"/>
    <w:tmpl w:val="F88E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81DB6"/>
    <w:multiLevelType w:val="hybridMultilevel"/>
    <w:tmpl w:val="01902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97714"/>
    <w:multiLevelType w:val="hybridMultilevel"/>
    <w:tmpl w:val="3518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A4893"/>
    <w:multiLevelType w:val="hybridMultilevel"/>
    <w:tmpl w:val="E0746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D3"/>
    <w:rsid w:val="00074C54"/>
    <w:rsid w:val="000826B7"/>
    <w:rsid w:val="000E0D2B"/>
    <w:rsid w:val="00170BF3"/>
    <w:rsid w:val="00190B0B"/>
    <w:rsid w:val="002A52E9"/>
    <w:rsid w:val="00302C50"/>
    <w:rsid w:val="003053AD"/>
    <w:rsid w:val="003F06E3"/>
    <w:rsid w:val="0043228A"/>
    <w:rsid w:val="004702EA"/>
    <w:rsid w:val="004E6ABF"/>
    <w:rsid w:val="00552FF6"/>
    <w:rsid w:val="006B092F"/>
    <w:rsid w:val="00706F06"/>
    <w:rsid w:val="00775528"/>
    <w:rsid w:val="007802DE"/>
    <w:rsid w:val="007852DD"/>
    <w:rsid w:val="007873B8"/>
    <w:rsid w:val="00797633"/>
    <w:rsid w:val="007B4C70"/>
    <w:rsid w:val="007B73BF"/>
    <w:rsid w:val="007F0D82"/>
    <w:rsid w:val="00841459"/>
    <w:rsid w:val="008F3323"/>
    <w:rsid w:val="00931623"/>
    <w:rsid w:val="009339C0"/>
    <w:rsid w:val="0096332D"/>
    <w:rsid w:val="00AE6377"/>
    <w:rsid w:val="00B918D3"/>
    <w:rsid w:val="00DB7D2C"/>
    <w:rsid w:val="00E50409"/>
    <w:rsid w:val="00EA15E7"/>
    <w:rsid w:val="00EB7109"/>
    <w:rsid w:val="00EC136B"/>
    <w:rsid w:val="00F356D7"/>
    <w:rsid w:val="00F7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2244"/>
  <w15:docId w15:val="{77F9CCEB-0B79-47A8-BAAD-E5D53BC3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User</cp:lastModifiedBy>
  <cp:revision>2</cp:revision>
  <cp:lastPrinted>2015-01-26T22:25:00Z</cp:lastPrinted>
  <dcterms:created xsi:type="dcterms:W3CDTF">2016-03-21T03:00:00Z</dcterms:created>
  <dcterms:modified xsi:type="dcterms:W3CDTF">2016-03-21T03:00:00Z</dcterms:modified>
</cp:coreProperties>
</file>