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90" w:rsidRDefault="00404514" w:rsidP="00412590">
      <w:pPr>
        <w:pStyle w:val="Heading1"/>
      </w:pPr>
      <w:bookmarkStart w:id="0" w:name="_GoBack"/>
      <w:bookmarkEnd w:id="0"/>
      <w:r w:rsidRPr="00404514">
        <w:t>Tax Court</w:t>
      </w:r>
      <w:r w:rsidR="00412590">
        <w:tab/>
        <w:t>Agency Profile</w:t>
      </w:r>
    </w:p>
    <w:p w:rsidR="00641B08" w:rsidRDefault="0015373E">
      <w:pPr>
        <w:rPr>
          <w:rStyle w:val="Hyperlink"/>
          <w:rFonts w:ascii="Calibri" w:hAnsi="Calibri"/>
        </w:rPr>
      </w:pPr>
      <w:hyperlink r:id="rId12" w:history="1">
        <w:r w:rsidR="00404514" w:rsidRPr="00404514">
          <w:rPr>
            <w:rStyle w:val="Hyperlink"/>
            <w:rFonts w:ascii="Calibri" w:hAnsi="Calibri"/>
          </w:rPr>
          <w:t>mn.gov/tax-court</w:t>
        </w:r>
      </w:hyperlink>
    </w:p>
    <w:tbl>
      <w:tblPr>
        <w:tblStyle w:val="TableGrid"/>
        <w:tblW w:w="0" w:type="auto"/>
        <w:tblBorders>
          <w:top w:val="single" w:sz="4" w:space="0" w:color="D2DAEA"/>
          <w:left w:val="single" w:sz="4" w:space="0" w:color="D2DAEA"/>
          <w:bottom w:val="single" w:sz="4" w:space="0" w:color="D2DAEA"/>
          <w:right w:val="single" w:sz="4" w:space="0" w:color="D2DAEA"/>
          <w:insideH w:val="single" w:sz="4" w:space="0" w:color="D2DAEA"/>
          <w:insideV w:val="single" w:sz="4" w:space="0" w:color="D2DAEA"/>
        </w:tblBorders>
        <w:shd w:val="clear" w:color="auto" w:fill="D2DAEA"/>
        <w:tblLook w:val="04A0" w:firstRow="1" w:lastRow="0" w:firstColumn="1" w:lastColumn="0" w:noHBand="0" w:noVBand="1"/>
      </w:tblPr>
      <w:tblGrid>
        <w:gridCol w:w="10214"/>
      </w:tblGrid>
      <w:tr w:rsidR="002F51BD" w:rsidTr="0013141A">
        <w:tc>
          <w:tcPr>
            <w:tcW w:w="10214" w:type="dxa"/>
            <w:shd w:val="clear" w:color="auto" w:fill="D2DAEA"/>
          </w:tcPr>
          <w:p w:rsidR="002F51BD" w:rsidRDefault="002F51BD" w:rsidP="002F51BD">
            <w:pPr>
              <w:pStyle w:val="Heading2"/>
              <w:outlineLvl w:val="1"/>
            </w:pPr>
            <w:r>
              <w:t>At a glance</w:t>
            </w:r>
          </w:p>
          <w:p w:rsidR="00404514" w:rsidRPr="00D82E71" w:rsidRDefault="00404514" w:rsidP="00676839">
            <w:pPr>
              <w:pStyle w:val="ListParagraph"/>
              <w:numPr>
                <w:ilvl w:val="0"/>
                <w:numId w:val="9"/>
              </w:numPr>
              <w:rPr>
                <w:bCs/>
              </w:rPr>
            </w:pPr>
            <w:r w:rsidRPr="00D82E71">
              <w:rPr>
                <w:bCs/>
              </w:rPr>
              <w:t>Nine full-time staff:  3 judges, 3 administrative staff, and 3 judicial law clerks.</w:t>
            </w:r>
          </w:p>
          <w:p w:rsidR="00404514" w:rsidRPr="00D82E71" w:rsidRDefault="00AA2AA4" w:rsidP="00676839">
            <w:pPr>
              <w:pStyle w:val="ListParagraph"/>
              <w:numPr>
                <w:ilvl w:val="0"/>
                <w:numId w:val="9"/>
              </w:numPr>
              <w:rPr>
                <w:bCs/>
              </w:rPr>
            </w:pPr>
            <w:r>
              <w:rPr>
                <w:bCs/>
              </w:rPr>
              <w:t>Approximately 3,200 cases we</w:t>
            </w:r>
            <w:r w:rsidR="00404514" w:rsidRPr="00D82E71">
              <w:rPr>
                <w:bCs/>
              </w:rPr>
              <w:t xml:space="preserve">re filed annually </w:t>
            </w:r>
            <w:r w:rsidR="00221406">
              <w:rPr>
                <w:bCs/>
              </w:rPr>
              <w:t>between 2014 and 2018</w:t>
            </w:r>
            <w:r>
              <w:rPr>
                <w:bCs/>
              </w:rPr>
              <w:t xml:space="preserve">. </w:t>
            </w:r>
            <w:r w:rsidR="001D705F">
              <w:rPr>
                <w:bCs/>
              </w:rPr>
              <w:t xml:space="preserve"> </w:t>
            </w:r>
            <w:r>
              <w:rPr>
                <w:bCs/>
              </w:rPr>
              <w:t>Ninety-eight percent we</w:t>
            </w:r>
            <w:r w:rsidR="00404514" w:rsidRPr="00D82E71">
              <w:rPr>
                <w:bCs/>
              </w:rPr>
              <w:t>re appeals</w:t>
            </w:r>
            <w:r>
              <w:rPr>
                <w:bCs/>
              </w:rPr>
              <w:t xml:space="preserve"> from property tax assessments; the remainder, </w:t>
            </w:r>
            <w:r w:rsidR="00404514" w:rsidRPr="00D82E71">
              <w:rPr>
                <w:bCs/>
              </w:rPr>
              <w:t>appeals from orders of the Commissioner of Revenue.</w:t>
            </w:r>
          </w:p>
          <w:p w:rsidR="00404514" w:rsidRPr="00D82E71" w:rsidRDefault="00404514" w:rsidP="00676839">
            <w:pPr>
              <w:pStyle w:val="ListParagraph"/>
              <w:numPr>
                <w:ilvl w:val="0"/>
                <w:numId w:val="9"/>
              </w:numPr>
              <w:rPr>
                <w:bCs/>
              </w:rPr>
            </w:pPr>
            <w:r w:rsidRPr="00D82E71">
              <w:rPr>
                <w:bCs/>
              </w:rPr>
              <w:t>A property tax appeal is filed with the district court administrator in the county in which the property is located and then transferred to the tax court; an appeal from an order of the Commissioner of Revenue is filed directly with the Tax Court.</w:t>
            </w:r>
          </w:p>
          <w:p w:rsidR="00404514" w:rsidRPr="00D82E71" w:rsidRDefault="00AA2AA4" w:rsidP="00676839">
            <w:pPr>
              <w:pStyle w:val="ListParagraph"/>
              <w:numPr>
                <w:ilvl w:val="0"/>
                <w:numId w:val="9"/>
              </w:numPr>
              <w:rPr>
                <w:bCs/>
              </w:rPr>
            </w:pPr>
            <w:r>
              <w:rPr>
                <w:bCs/>
              </w:rPr>
              <w:t>Generates approximately $90</w:t>
            </w:r>
            <w:r w:rsidR="00404514" w:rsidRPr="00D82E71">
              <w:rPr>
                <w:bCs/>
              </w:rPr>
              <w:t>0,000 per year in filing fees deposited into the General Fund.</w:t>
            </w:r>
          </w:p>
          <w:p w:rsidR="00404514" w:rsidRPr="00D82E71" w:rsidRDefault="00AA2AA4" w:rsidP="008F1644">
            <w:pPr>
              <w:pStyle w:val="ListParagraph"/>
              <w:numPr>
                <w:ilvl w:val="0"/>
                <w:numId w:val="9"/>
              </w:numPr>
              <w:rPr>
                <w:bCs/>
              </w:rPr>
            </w:pPr>
            <w:r>
              <w:rPr>
                <w:bCs/>
              </w:rPr>
              <w:t>FY 2017</w:t>
            </w:r>
            <w:r w:rsidR="00404514" w:rsidRPr="00D82E71">
              <w:rPr>
                <w:bCs/>
              </w:rPr>
              <w:t xml:space="preserve"> </w:t>
            </w:r>
            <w:r w:rsidR="005D34A8">
              <w:rPr>
                <w:bCs/>
              </w:rPr>
              <w:t xml:space="preserve">base </w:t>
            </w:r>
            <w:r w:rsidR="00404514" w:rsidRPr="00D82E71">
              <w:rPr>
                <w:bCs/>
              </w:rPr>
              <w:t xml:space="preserve">budget </w:t>
            </w:r>
            <w:r w:rsidR="00C26C74">
              <w:rPr>
                <w:bCs/>
              </w:rPr>
              <w:t xml:space="preserve">of </w:t>
            </w:r>
            <w:r w:rsidR="001E2DB4">
              <w:rPr>
                <w:bCs/>
              </w:rPr>
              <w:t>approximately $1,248,000</w:t>
            </w:r>
            <w:r w:rsidR="005D34A8">
              <w:rPr>
                <w:bCs/>
              </w:rPr>
              <w:t xml:space="preserve">, along with approximately $600,000 in </w:t>
            </w:r>
            <w:r w:rsidR="001E2DB4">
              <w:rPr>
                <w:bCs/>
              </w:rPr>
              <w:t>one-time money f</w:t>
            </w:r>
            <w:r w:rsidR="005D34A8">
              <w:rPr>
                <w:bCs/>
              </w:rPr>
              <w:t>or the acquisition and implementation of a new case-management system</w:t>
            </w:r>
            <w:r w:rsidR="00404514" w:rsidRPr="00D82E71">
              <w:rPr>
                <w:bCs/>
              </w:rPr>
              <w:t>.</w:t>
            </w:r>
          </w:p>
          <w:p w:rsidR="00404514" w:rsidRPr="00D82E71" w:rsidRDefault="00404514" w:rsidP="00676839">
            <w:pPr>
              <w:pStyle w:val="ListParagraph"/>
              <w:numPr>
                <w:ilvl w:val="0"/>
                <w:numId w:val="9"/>
              </w:numPr>
              <w:rPr>
                <w:bCs/>
              </w:rPr>
            </w:pPr>
            <w:r w:rsidRPr="00D82E71">
              <w:rPr>
                <w:bCs/>
              </w:rPr>
              <w:t>Judges travel throughout Minnesota to hear cases where taxpayers reside.</w:t>
            </w:r>
          </w:p>
          <w:p w:rsidR="002F51BD" w:rsidRPr="001E54BD" w:rsidRDefault="00404514" w:rsidP="00676839">
            <w:pPr>
              <w:pStyle w:val="ListParagraph"/>
              <w:numPr>
                <w:ilvl w:val="0"/>
                <w:numId w:val="9"/>
              </w:numPr>
              <w:spacing w:after="240"/>
              <w:rPr>
                <w:b/>
                <w:bCs/>
              </w:rPr>
            </w:pPr>
            <w:r w:rsidRPr="00D82E71">
              <w:rPr>
                <w:bCs/>
              </w:rPr>
              <w:t>The Court files written findings of fact, conclusions of law, and an explanatory memorandum in each case within three months of submission.</w:t>
            </w:r>
          </w:p>
        </w:tc>
      </w:tr>
    </w:tbl>
    <w:p w:rsidR="00847518" w:rsidRDefault="00847518" w:rsidP="00373B60">
      <w:pPr>
        <w:pStyle w:val="Heading2"/>
        <w:spacing w:before="120"/>
      </w:pPr>
      <w:r>
        <w:t>Purpose</w:t>
      </w:r>
    </w:p>
    <w:p w:rsidR="001E54BD" w:rsidRDefault="001E54BD" w:rsidP="001E54BD">
      <w:r>
        <w:t>The Minnesota Tax Court is a specialized trial court in the executive branch with statewide jurisdiction.  By statute, it is “the sole, exclusive, and final authority for the hearing and determination of all questions of law and fact arising under the tax laws of the state.”</w:t>
      </w:r>
    </w:p>
    <w:p w:rsidR="00847518" w:rsidRPr="007775BA" w:rsidRDefault="001E54BD" w:rsidP="00D82E71">
      <w:pPr>
        <w:spacing w:after="120"/>
      </w:pPr>
      <w:r>
        <w:t xml:space="preserve">The Tax Court resolves disputes between property owners and counties concerning the correct value and classification of real property, and adjudicates taxpayer appeals from orders of the Minnesota Commissioner of Revenue.  By ensuring that property is correctly classified and valued and that taxpayers are correctly taxed, the court helps provide efficient and accountable government services. </w:t>
      </w:r>
      <w:r w:rsidR="001D705F">
        <w:t xml:space="preserve"> </w:t>
      </w:r>
      <w:r>
        <w:t xml:space="preserve">The Court’s three judges </w:t>
      </w:r>
      <w:r w:rsidR="00AA2AA4">
        <w:t>strive</w:t>
      </w:r>
      <w:r>
        <w:t xml:space="preserve"> to ensure that the Court is managed according to best practices by working closely with the Department of Administration’s Small Agency Resource</w:t>
      </w:r>
      <w:r w:rsidR="00AA2AA4">
        <w:t xml:space="preserve"> Team (SmART) and with MN.IT</w:t>
      </w:r>
      <w:r>
        <w:t>.</w:t>
      </w:r>
    </w:p>
    <w:p w:rsidR="00A854EE" w:rsidRDefault="00A854EE" w:rsidP="00A854EE">
      <w:pPr>
        <w:pStyle w:val="Heading2"/>
      </w:pPr>
      <w:r>
        <w:t>Budget</w:t>
      </w:r>
    </w:p>
    <w:p w:rsidR="00A854EE" w:rsidRDefault="00A854EE" w:rsidP="006346CD">
      <w:pPr>
        <w:spacing w:after="120"/>
        <w:sectPr w:rsidR="00A854EE" w:rsidSect="00894933">
          <w:type w:val="continuous"/>
          <w:pgSz w:w="12240" w:h="15840"/>
          <w:pgMar w:top="720" w:right="1008" w:bottom="1440" w:left="1008" w:header="720" w:footer="720" w:gutter="0"/>
          <w:cols w:space="720"/>
          <w:docGrid w:linePitch="360"/>
        </w:sectPr>
      </w:pPr>
    </w:p>
    <w:p w:rsidR="00A854EE" w:rsidRDefault="00894933" w:rsidP="00745F77">
      <w:pPr>
        <w:spacing w:after="0"/>
      </w:pPr>
      <w:r>
        <w:rPr>
          <w:noProof/>
        </w:rPr>
        <w:drawing>
          <wp:inline distT="0" distB="0" distL="0" distR="0">
            <wp:extent cx="3108960" cy="261429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5F77" w:rsidRPr="00745F77" w:rsidRDefault="00745F77" w:rsidP="00554353">
      <w:pPr>
        <w:pStyle w:val="Caption"/>
        <w:spacing w:after="120"/>
      </w:pPr>
      <w:r w:rsidRPr="00745F77">
        <w:t xml:space="preserve">Source: </w:t>
      </w:r>
      <w:r w:rsidR="00D82E71">
        <w:t>BPAS</w:t>
      </w:r>
    </w:p>
    <w:p w:rsidR="00A854EE" w:rsidRDefault="00745F77" w:rsidP="00B37478">
      <w:pPr>
        <w:spacing w:after="0"/>
      </w:pPr>
      <w:r>
        <w:br w:type="column"/>
      </w:r>
      <w:r w:rsidR="00987723">
        <w:rPr>
          <w:noProof/>
        </w:rPr>
        <w:drawing>
          <wp:inline distT="0" distB="0" distL="0" distR="0">
            <wp:extent cx="3108960" cy="261429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54EE" w:rsidRDefault="00B37478" w:rsidP="006346CD">
      <w:pPr>
        <w:pStyle w:val="Caption"/>
        <w:spacing w:after="120"/>
      </w:pPr>
      <w:r w:rsidRPr="00AC6006">
        <w:t>Source: Consolidated Fund Statement</w:t>
      </w:r>
    </w:p>
    <w:p w:rsidR="00A854EE" w:rsidRDefault="00A854EE" w:rsidP="006346CD">
      <w:pPr>
        <w:spacing w:after="120"/>
        <w:sectPr w:rsidR="00A854EE" w:rsidSect="00894933">
          <w:type w:val="continuous"/>
          <w:pgSz w:w="12240" w:h="15840"/>
          <w:pgMar w:top="720" w:right="1008" w:bottom="1440" w:left="1008" w:header="720" w:footer="720" w:gutter="0"/>
          <w:cols w:num="2" w:space="432"/>
          <w:docGrid w:linePitch="360"/>
        </w:sectPr>
      </w:pPr>
    </w:p>
    <w:p w:rsidR="0052224B" w:rsidRPr="0052224B" w:rsidRDefault="004D2114" w:rsidP="00676839">
      <w:pPr>
        <w:spacing w:before="240"/>
      </w:pPr>
      <w:r>
        <w:lastRenderedPageBreak/>
        <w:t xml:space="preserve">The </w:t>
      </w:r>
      <w:r w:rsidR="001E54BD" w:rsidRPr="001E54BD">
        <w:t>Minnesota Tax Cou</w:t>
      </w:r>
      <w:r w:rsidR="001D705F">
        <w:t>rt generates approximately $90</w:t>
      </w:r>
      <w:r w:rsidR="001E54BD" w:rsidRPr="001E54BD">
        <w:t>0,000 annually in non-dedicated revenue from filing fees, which are deposited into the General Fund.  All funding for Tax Court operations, in turn, comes from General Fund appropriations.  The Ta</w:t>
      </w:r>
      <w:r w:rsidR="001D705F">
        <w:t xml:space="preserve">x Court’s </w:t>
      </w:r>
      <w:r w:rsidR="001E54BD" w:rsidRPr="001E54BD">
        <w:t xml:space="preserve">FY 16-17 </w:t>
      </w:r>
      <w:r w:rsidR="00C26C74">
        <w:t xml:space="preserve">budget </w:t>
      </w:r>
      <w:r w:rsidR="001E2DB4">
        <w:t xml:space="preserve">included a base amount of approximately $2.5 million and a one-time appropriation of </w:t>
      </w:r>
      <w:r w:rsidR="00C26C74">
        <w:t xml:space="preserve">approximately </w:t>
      </w:r>
      <w:r w:rsidR="001E2DB4">
        <w:t xml:space="preserve">$1.4 million </w:t>
      </w:r>
      <w:r w:rsidR="001E54BD" w:rsidRPr="001E54BD">
        <w:t xml:space="preserve">for the acquisition </w:t>
      </w:r>
      <w:r w:rsidR="001D705F">
        <w:t xml:space="preserve">and implementation </w:t>
      </w:r>
      <w:r w:rsidR="008164FB">
        <w:t>of a new electronic case-</w:t>
      </w:r>
      <w:r w:rsidR="001E54BD" w:rsidRPr="001E54BD">
        <w:t>management system.</w:t>
      </w:r>
    </w:p>
    <w:p w:rsidR="00B37478" w:rsidRDefault="00B37478" w:rsidP="00B37478">
      <w:pPr>
        <w:pStyle w:val="Heading2"/>
      </w:pPr>
      <w:r>
        <w:t>STRATEGIES</w:t>
      </w:r>
    </w:p>
    <w:p w:rsidR="001E54BD" w:rsidRDefault="001E54BD" w:rsidP="001E54BD">
      <w:r>
        <w:t>The Tax Court is a specialized trial court.  Tax Court actions are governed by the Minnesota Rules of Civil Procedure and of Evidence, and proceed in largely the same manner as civil actions filed in the Minnesota District Courts.  Like other trial courts, the Tax Co</w:t>
      </w:r>
      <w:r w:rsidR="001D705F">
        <w:t>urt</w:t>
      </w:r>
      <w:r>
        <w:t xml:space="preserve"> resolves discovery and trial-management disputes, decides dispositive and non-dispositive motions, and conducts </w:t>
      </w:r>
      <w:r w:rsidR="001D705F">
        <w:t>bench trials (j</w:t>
      </w:r>
      <w:r>
        <w:t>ury trials</w:t>
      </w:r>
      <w:r w:rsidR="001D705F">
        <w:t xml:space="preserve"> are not available in Tax Court).  T</w:t>
      </w:r>
      <w:r>
        <w:t>he Tax Court files written findings of fact, conclusions of law, and an explanatory memorandum in each case heard.</w:t>
      </w:r>
    </w:p>
    <w:p w:rsidR="001E54BD" w:rsidRDefault="00507B27" w:rsidP="001E54BD">
      <w:r w:rsidRPr="00507B27">
        <w:rPr>
          <w:u w:val="single"/>
        </w:rPr>
        <w:t>Harness Available Resources</w:t>
      </w:r>
      <w:r>
        <w:t xml:space="preserve">:  </w:t>
      </w:r>
      <w:r w:rsidR="001E54BD">
        <w:t>To ensure the Court is managed acc</w:t>
      </w:r>
      <w:r>
        <w:t>ording to best practices, we work</w:t>
      </w:r>
      <w:r w:rsidR="001E54BD">
        <w:t xml:space="preserve"> closely with the Department of Administration’s Small Agency Resource Team (SmART) and </w:t>
      </w:r>
      <w:r>
        <w:t xml:space="preserve">with </w:t>
      </w:r>
      <w:r w:rsidR="001E54BD">
        <w:t>MN.IT.  SmART assists the Court with human resources and budgeting.  The Court’s budget now includes line-items for statutorily mandated services such as judicial travel to conduct hearings, the purchase of transcripts for indigent taxpayers, and translators for court proceedings.  MN.IT assists the Court in maintaining its existing infrastructure and in helping to guarantee that the Court’s technology will meet its future needs.</w:t>
      </w:r>
    </w:p>
    <w:p w:rsidR="007775BA" w:rsidRPr="007775BA" w:rsidRDefault="00507B27" w:rsidP="001E54BD">
      <w:r w:rsidRPr="00507B27">
        <w:rPr>
          <w:u w:val="single"/>
        </w:rPr>
        <w:t>Active Case Management</w:t>
      </w:r>
      <w:r>
        <w:t xml:space="preserve">:  </w:t>
      </w:r>
      <w:r w:rsidR="001E54BD">
        <w:t xml:space="preserve">Filings in the Tax Court increased from approximately 1,200 in calendar year 2000 to almost 6,000 in 2010.  Filings for </w:t>
      </w:r>
      <w:r w:rsidR="00221406">
        <w:t xml:space="preserve">the last five years (2014 through 2018) </w:t>
      </w:r>
      <w:r>
        <w:t>have averaged approximately 3,200 cases</w:t>
      </w:r>
      <w:r w:rsidR="00221406">
        <w:t xml:space="preserve"> per year</w:t>
      </w:r>
      <w:r w:rsidR="001E54BD">
        <w:t xml:space="preserve">.  Although </w:t>
      </w:r>
      <w:r>
        <w:t>the court</w:t>
      </w:r>
      <w:r w:rsidR="003E19C2">
        <w:t xml:space="preserve"> had a significant backlog for many years, that is no longer so.  Since 2013, t</w:t>
      </w:r>
      <w:r w:rsidR="001E54BD">
        <w:t xml:space="preserve">he Court </w:t>
      </w:r>
      <w:r w:rsidR="001B3411">
        <w:t>has filed</w:t>
      </w:r>
      <w:r w:rsidR="001E54BD">
        <w:t xml:space="preserve"> </w:t>
      </w:r>
      <w:r w:rsidR="003E19C2">
        <w:t xml:space="preserve">a scheduling order in each case </w:t>
      </w:r>
      <w:r w:rsidR="001E54BD">
        <w:t xml:space="preserve">to ensure that </w:t>
      </w:r>
      <w:r w:rsidR="007D7D2D">
        <w:t>matters</w:t>
      </w:r>
      <w:r w:rsidR="001F53EB">
        <w:t xml:space="preserve"> that do not settle are ready for trial</w:t>
      </w:r>
      <w:r w:rsidR="003E19C2">
        <w:t xml:space="preserve"> in approximately 16</w:t>
      </w:r>
      <w:r w:rsidR="001E54BD">
        <w:t xml:space="preserve"> m</w:t>
      </w:r>
      <w:r w:rsidR="003E19C2">
        <w:t>onths.  As a result of this</w:t>
      </w:r>
      <w:r w:rsidR="001E54BD">
        <w:t xml:space="preserve"> active case management (and a modest decrease in filings), the Court has</w:t>
      </w:r>
      <w:r w:rsidR="003E19C2">
        <w:t xml:space="preserve"> significantly reduced </w:t>
      </w:r>
      <w:r w:rsidR="001E54BD">
        <w:t>the number of open and pending cases on its docket</w:t>
      </w:r>
      <w:r w:rsidR="003E19C2">
        <w:t xml:space="preserve">.  In addition, to </w:t>
      </w:r>
      <w:r w:rsidR="001E54BD">
        <w:t xml:space="preserve">facilitate settlements in </w:t>
      </w:r>
      <w:r w:rsidR="003E19C2">
        <w:t xml:space="preserve">Commissioner of Revenue and particularly in </w:t>
      </w:r>
      <w:r w:rsidR="001E54BD">
        <w:t xml:space="preserve">property tax cases (in which counties would otherwise have to request special funds to pay for an outside mediator), the judges of the Court have </w:t>
      </w:r>
      <w:r w:rsidR="003E19C2">
        <w:t xml:space="preserve">all </w:t>
      </w:r>
      <w:r w:rsidR="001E54BD">
        <w:t>comple</w:t>
      </w:r>
      <w:r w:rsidR="003E19C2">
        <w:t>ted training as civil mediators.  This enables</w:t>
      </w:r>
      <w:r w:rsidR="001E54BD">
        <w:t xml:space="preserve"> parties to mediate appropriate cases (at no cost to the parties) in hopes of resolving them short of trial.  Finally, the court has implemented streamlined procedures that reduce the time (and cost to the parties) of trying cases that cannot otherwise be resolved.</w:t>
      </w:r>
    </w:p>
    <w:p w:rsidR="0052224B" w:rsidRDefault="0052224B" w:rsidP="0052224B">
      <w:pPr>
        <w:pStyle w:val="Heading2"/>
      </w:pPr>
      <w:r>
        <w:t>RESULTS</w:t>
      </w:r>
    </w:p>
    <w:tbl>
      <w:tblPr>
        <w:tblStyle w:val="TableGrid"/>
        <w:tblW w:w="9895" w:type="dxa"/>
        <w:jc w:val="center"/>
        <w:tblLayout w:type="fixed"/>
        <w:tblCellMar>
          <w:left w:w="115" w:type="dxa"/>
          <w:right w:w="115" w:type="dxa"/>
        </w:tblCellMar>
        <w:tblLook w:val="04A0" w:firstRow="1" w:lastRow="0" w:firstColumn="1" w:lastColumn="0" w:noHBand="0" w:noVBand="1"/>
        <w:tblDescription w:val="Results achieved by this activity"/>
      </w:tblPr>
      <w:tblGrid>
        <w:gridCol w:w="1705"/>
        <w:gridCol w:w="2160"/>
        <w:gridCol w:w="1507"/>
        <w:gridCol w:w="1508"/>
        <w:gridCol w:w="1507"/>
        <w:gridCol w:w="1508"/>
      </w:tblGrid>
      <w:tr w:rsidR="00B8429C" w:rsidRPr="0099208E" w:rsidTr="00743AC9">
        <w:trPr>
          <w:tblHeader/>
          <w:jc w:val="center"/>
        </w:trPr>
        <w:tc>
          <w:tcPr>
            <w:tcW w:w="1705" w:type="dxa"/>
            <w:tcBorders>
              <w:bottom w:val="single" w:sz="12" w:space="0" w:color="auto"/>
            </w:tcBorders>
          </w:tcPr>
          <w:p w:rsidR="00B8429C" w:rsidRPr="0099208E" w:rsidRDefault="00B8429C" w:rsidP="00430352">
            <w:pPr>
              <w:spacing w:before="60" w:after="40"/>
              <w:rPr>
                <w:rStyle w:val="IntenseEmphasis"/>
              </w:rPr>
            </w:pPr>
            <w:r w:rsidRPr="0099208E">
              <w:rPr>
                <w:rStyle w:val="IntenseEmphasis"/>
              </w:rPr>
              <w:t>Type of Measure</w:t>
            </w:r>
          </w:p>
        </w:tc>
        <w:tc>
          <w:tcPr>
            <w:tcW w:w="2160" w:type="dxa"/>
            <w:tcBorders>
              <w:bottom w:val="single" w:sz="12" w:space="0" w:color="auto"/>
            </w:tcBorders>
          </w:tcPr>
          <w:p w:rsidR="00B8429C" w:rsidRPr="0099208E" w:rsidRDefault="00B8429C" w:rsidP="00430352">
            <w:pPr>
              <w:spacing w:before="60" w:after="40"/>
              <w:rPr>
                <w:rStyle w:val="IntenseEmphasis"/>
              </w:rPr>
            </w:pPr>
            <w:r w:rsidRPr="0099208E">
              <w:rPr>
                <w:rStyle w:val="IntenseEmphasis"/>
              </w:rPr>
              <w:t>Name of Measure</w:t>
            </w:r>
          </w:p>
        </w:tc>
        <w:tc>
          <w:tcPr>
            <w:tcW w:w="1507" w:type="dxa"/>
            <w:tcBorders>
              <w:bottom w:val="single" w:sz="12" w:space="0" w:color="auto"/>
            </w:tcBorders>
          </w:tcPr>
          <w:p w:rsidR="00B8429C" w:rsidRPr="0099208E" w:rsidRDefault="00B8429C" w:rsidP="00B8429C">
            <w:pPr>
              <w:spacing w:before="60" w:after="40"/>
              <w:rPr>
                <w:rStyle w:val="IntenseEmphasis"/>
              </w:rPr>
            </w:pPr>
            <w:r w:rsidRPr="00B8429C">
              <w:rPr>
                <w:rStyle w:val="IntenseEmphasis"/>
              </w:rPr>
              <w:t>Aug.25, 2015</w:t>
            </w:r>
          </w:p>
        </w:tc>
        <w:tc>
          <w:tcPr>
            <w:tcW w:w="1508" w:type="dxa"/>
            <w:tcBorders>
              <w:bottom w:val="single" w:sz="12" w:space="0" w:color="auto"/>
            </w:tcBorders>
          </w:tcPr>
          <w:p w:rsidR="00B8429C" w:rsidRPr="0099208E" w:rsidRDefault="00B8429C" w:rsidP="00B8429C">
            <w:pPr>
              <w:spacing w:before="60" w:after="40"/>
              <w:rPr>
                <w:rStyle w:val="IntenseEmphasis"/>
              </w:rPr>
            </w:pPr>
            <w:r w:rsidRPr="00B8429C">
              <w:rPr>
                <w:rStyle w:val="IntenseEmphasis"/>
              </w:rPr>
              <w:t>Aug. 15, 2016</w:t>
            </w:r>
          </w:p>
        </w:tc>
        <w:tc>
          <w:tcPr>
            <w:tcW w:w="1507" w:type="dxa"/>
            <w:tcBorders>
              <w:bottom w:val="single" w:sz="12" w:space="0" w:color="auto"/>
            </w:tcBorders>
          </w:tcPr>
          <w:p w:rsidR="00B8429C" w:rsidRPr="0099208E" w:rsidRDefault="00743AC9" w:rsidP="00B8429C">
            <w:pPr>
              <w:spacing w:before="60" w:after="40"/>
              <w:rPr>
                <w:rStyle w:val="IntenseEmphasis"/>
              </w:rPr>
            </w:pPr>
            <w:r>
              <w:rPr>
                <w:rStyle w:val="IntenseEmphasis"/>
              </w:rPr>
              <w:t>Aug. 15, 2017</w:t>
            </w:r>
          </w:p>
        </w:tc>
        <w:tc>
          <w:tcPr>
            <w:tcW w:w="1508" w:type="dxa"/>
            <w:tcBorders>
              <w:bottom w:val="single" w:sz="12" w:space="0" w:color="auto"/>
            </w:tcBorders>
          </w:tcPr>
          <w:p w:rsidR="00B8429C" w:rsidRPr="0099208E" w:rsidRDefault="00743AC9" w:rsidP="00743AC9">
            <w:pPr>
              <w:spacing w:before="60" w:after="40"/>
              <w:rPr>
                <w:rStyle w:val="IntenseEmphasis"/>
              </w:rPr>
            </w:pPr>
            <w:r>
              <w:rPr>
                <w:rStyle w:val="IntenseEmphasis"/>
              </w:rPr>
              <w:t>Aug. 15, 2018</w:t>
            </w:r>
          </w:p>
        </w:tc>
      </w:tr>
      <w:tr w:rsidR="00B8429C" w:rsidTr="00BE31E1">
        <w:trPr>
          <w:jc w:val="center"/>
        </w:trPr>
        <w:tc>
          <w:tcPr>
            <w:tcW w:w="1705" w:type="dxa"/>
            <w:tcBorders>
              <w:top w:val="single" w:sz="12" w:space="0" w:color="auto"/>
            </w:tcBorders>
          </w:tcPr>
          <w:p w:rsidR="00B8429C" w:rsidRDefault="00B8429C" w:rsidP="00430352">
            <w:pPr>
              <w:spacing w:before="60" w:after="40"/>
            </w:pPr>
            <w:r>
              <w:t>Quantity</w:t>
            </w:r>
          </w:p>
        </w:tc>
        <w:tc>
          <w:tcPr>
            <w:tcW w:w="2160" w:type="dxa"/>
            <w:tcBorders>
              <w:top w:val="single" w:sz="12" w:space="0" w:color="auto"/>
            </w:tcBorders>
          </w:tcPr>
          <w:p w:rsidR="00B8429C" w:rsidRDefault="00743AC9" w:rsidP="00430352">
            <w:pPr>
              <w:spacing w:before="60" w:after="40"/>
            </w:pPr>
            <w:r>
              <w:t>Open/</w:t>
            </w:r>
            <w:r w:rsidR="00B8429C">
              <w:t>Pending Cases</w:t>
            </w:r>
          </w:p>
        </w:tc>
        <w:tc>
          <w:tcPr>
            <w:tcW w:w="1507" w:type="dxa"/>
            <w:tcBorders>
              <w:top w:val="single" w:sz="12" w:space="0" w:color="auto"/>
            </w:tcBorders>
          </w:tcPr>
          <w:p w:rsidR="00B8429C" w:rsidRDefault="00676839" w:rsidP="00BE31E1">
            <w:pPr>
              <w:spacing w:before="60" w:after="40"/>
              <w:jc w:val="center"/>
            </w:pPr>
            <w:r w:rsidRPr="00676839">
              <w:t>7,740</w:t>
            </w:r>
          </w:p>
        </w:tc>
        <w:tc>
          <w:tcPr>
            <w:tcW w:w="1508" w:type="dxa"/>
            <w:tcBorders>
              <w:top w:val="single" w:sz="12" w:space="0" w:color="auto"/>
            </w:tcBorders>
          </w:tcPr>
          <w:p w:rsidR="00B8429C" w:rsidRDefault="00676839" w:rsidP="00BE31E1">
            <w:pPr>
              <w:spacing w:before="60" w:after="40"/>
              <w:jc w:val="center"/>
            </w:pPr>
            <w:r w:rsidRPr="00676839">
              <w:t>4,003</w:t>
            </w:r>
          </w:p>
        </w:tc>
        <w:tc>
          <w:tcPr>
            <w:tcW w:w="1507" w:type="dxa"/>
            <w:tcBorders>
              <w:top w:val="single" w:sz="12" w:space="0" w:color="auto"/>
            </w:tcBorders>
          </w:tcPr>
          <w:p w:rsidR="00B8429C" w:rsidRDefault="00BE31E1" w:rsidP="00BE31E1">
            <w:pPr>
              <w:spacing w:before="60" w:after="40"/>
              <w:jc w:val="center"/>
            </w:pPr>
            <w:r>
              <w:t>N/A</w:t>
            </w:r>
          </w:p>
        </w:tc>
        <w:tc>
          <w:tcPr>
            <w:tcW w:w="1508" w:type="dxa"/>
            <w:tcBorders>
              <w:top w:val="single" w:sz="12" w:space="0" w:color="auto"/>
            </w:tcBorders>
          </w:tcPr>
          <w:p w:rsidR="00B8429C" w:rsidRDefault="001B3411" w:rsidP="00BE31E1">
            <w:pPr>
              <w:spacing w:before="60" w:after="40"/>
              <w:jc w:val="center"/>
            </w:pPr>
            <w:r>
              <w:t>3,080</w:t>
            </w:r>
          </w:p>
        </w:tc>
      </w:tr>
      <w:tr w:rsidR="00B8429C" w:rsidTr="00BE31E1">
        <w:trPr>
          <w:jc w:val="center"/>
        </w:trPr>
        <w:tc>
          <w:tcPr>
            <w:tcW w:w="1705" w:type="dxa"/>
          </w:tcPr>
          <w:p w:rsidR="00B8429C" w:rsidRDefault="00B8429C" w:rsidP="00430352">
            <w:pPr>
              <w:spacing w:before="60" w:after="40"/>
            </w:pPr>
            <w:r w:rsidRPr="00B8429C">
              <w:t>Efficiency</w:t>
            </w:r>
          </w:p>
        </w:tc>
        <w:tc>
          <w:tcPr>
            <w:tcW w:w="2160" w:type="dxa"/>
          </w:tcPr>
          <w:p w:rsidR="00B8429C" w:rsidRDefault="00743AC9" w:rsidP="00430352">
            <w:pPr>
              <w:spacing w:before="60" w:after="40"/>
            </w:pPr>
            <w:r>
              <w:t>Average Age of Open/</w:t>
            </w:r>
            <w:r w:rsidR="00B8429C">
              <w:t>Pending Cases</w:t>
            </w:r>
          </w:p>
        </w:tc>
        <w:tc>
          <w:tcPr>
            <w:tcW w:w="1507" w:type="dxa"/>
          </w:tcPr>
          <w:p w:rsidR="00B8429C" w:rsidRDefault="00BE31E1" w:rsidP="00BE31E1">
            <w:pPr>
              <w:spacing w:before="60" w:after="40"/>
              <w:jc w:val="center"/>
            </w:pPr>
            <w:r>
              <w:t>N/A</w:t>
            </w:r>
          </w:p>
        </w:tc>
        <w:tc>
          <w:tcPr>
            <w:tcW w:w="1508" w:type="dxa"/>
          </w:tcPr>
          <w:p w:rsidR="00B8429C" w:rsidRDefault="00BE31E1" w:rsidP="00BE31E1">
            <w:pPr>
              <w:spacing w:before="60" w:after="40"/>
              <w:jc w:val="center"/>
            </w:pPr>
            <w:r>
              <w:t>N/A</w:t>
            </w:r>
          </w:p>
        </w:tc>
        <w:tc>
          <w:tcPr>
            <w:tcW w:w="1507" w:type="dxa"/>
          </w:tcPr>
          <w:p w:rsidR="00B8429C" w:rsidRDefault="00BE31E1" w:rsidP="00BE31E1">
            <w:pPr>
              <w:spacing w:before="60" w:after="40"/>
              <w:jc w:val="center"/>
            </w:pPr>
            <w:r>
              <w:t>N/A</w:t>
            </w:r>
          </w:p>
        </w:tc>
        <w:tc>
          <w:tcPr>
            <w:tcW w:w="1508" w:type="dxa"/>
          </w:tcPr>
          <w:p w:rsidR="00B8429C" w:rsidRDefault="00BE31E1" w:rsidP="00BE31E1">
            <w:pPr>
              <w:spacing w:before="60" w:after="40"/>
              <w:jc w:val="center"/>
            </w:pPr>
            <w:r>
              <w:t>20 mos.</w:t>
            </w:r>
          </w:p>
        </w:tc>
      </w:tr>
    </w:tbl>
    <w:p w:rsidR="00676839" w:rsidRDefault="00676839" w:rsidP="000010A0">
      <w:pPr>
        <w:pStyle w:val="ListParagraph"/>
        <w:numPr>
          <w:ilvl w:val="0"/>
          <w:numId w:val="10"/>
        </w:numPr>
        <w:spacing w:before="240" w:after="120"/>
        <w:contextualSpacing w:val="0"/>
      </w:pPr>
      <w:r>
        <w:t>The number of open and pending c</w:t>
      </w:r>
      <w:r w:rsidR="000010A0">
        <w:t xml:space="preserve">ases represents the </w:t>
      </w:r>
      <w:r>
        <w:t>cases awaiting disposition</w:t>
      </w:r>
      <w:r w:rsidR="000010A0">
        <w:t xml:space="preserve"> by the Court</w:t>
      </w:r>
      <w:r>
        <w:t xml:space="preserve">.  As used here, “Open and Pending Cases” refers to matters that have been </w:t>
      </w:r>
      <w:r w:rsidR="004D2114">
        <w:t>entered into the Tax Court’s</w:t>
      </w:r>
      <w:r>
        <w:t xml:space="preserve"> electronic case-management system</w:t>
      </w:r>
      <w:r w:rsidR="000010A0">
        <w:t>,</w:t>
      </w:r>
      <w:r>
        <w:t xml:space="preserve"> </w:t>
      </w:r>
      <w:r w:rsidR="00221406">
        <w:t>but have not yet been settled or tried</w:t>
      </w:r>
      <w:r>
        <w:t>.</w:t>
      </w:r>
    </w:p>
    <w:p w:rsidR="007775BA" w:rsidRDefault="000010A0" w:rsidP="00D82E71">
      <w:pPr>
        <w:pStyle w:val="ListParagraph"/>
        <w:numPr>
          <w:ilvl w:val="0"/>
          <w:numId w:val="10"/>
        </w:numPr>
      </w:pPr>
      <w:r>
        <w:t>The Court’s new case-management system allows it</w:t>
      </w:r>
      <w:r w:rsidR="00F2432D">
        <w:t>, for the first time,</w:t>
      </w:r>
      <w:r>
        <w:t xml:space="preserve"> to track the average age of open and pending cases</w:t>
      </w:r>
      <w:r w:rsidR="00676839">
        <w:t>.</w:t>
      </w:r>
      <w:r w:rsidR="000923E1">
        <w:t xml:space="preserve">  </w:t>
      </w:r>
    </w:p>
    <w:p w:rsidR="00EE327B" w:rsidRDefault="00676839" w:rsidP="006E7C1E">
      <w:pPr>
        <w:pBdr>
          <w:top w:val="single" w:sz="8" w:space="12" w:color="808080" w:themeColor="background1" w:themeShade="80"/>
        </w:pBdr>
        <w:spacing w:before="240" w:after="0"/>
      </w:pPr>
      <w:r w:rsidRPr="00676839">
        <w:t>The Minnesota Tax Court is authorized by Minn. Stat.Ch. 271 (</w:t>
      </w:r>
      <w:hyperlink r:id="rId15" w:history="1">
        <w:r w:rsidRPr="00676839">
          <w:rPr>
            <w:rStyle w:val="Hyperlink"/>
            <w:rFonts w:ascii="Calibri" w:hAnsi="Calibri"/>
          </w:rPr>
          <w:t>https://www.revisor.mn.gov/statutes/?id=271</w:t>
        </w:r>
      </w:hyperlink>
      <w:r w:rsidRPr="00676839">
        <w:t>).</w:t>
      </w:r>
    </w:p>
    <w:sectPr w:rsidR="00EE327B" w:rsidSect="00894933">
      <w:type w:val="continuous"/>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14" w:rsidRDefault="00404514" w:rsidP="0031561B">
      <w:pPr>
        <w:spacing w:after="0"/>
      </w:pPr>
      <w:r>
        <w:separator/>
      </w:r>
    </w:p>
  </w:endnote>
  <w:endnote w:type="continuationSeparator" w:id="0">
    <w:p w:rsidR="00404514" w:rsidRDefault="00404514" w:rsidP="00315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14" w:rsidRDefault="00404514" w:rsidP="0031561B">
      <w:pPr>
        <w:spacing w:after="0"/>
      </w:pPr>
      <w:r>
        <w:separator/>
      </w:r>
    </w:p>
  </w:footnote>
  <w:footnote w:type="continuationSeparator" w:id="0">
    <w:p w:rsidR="00404514" w:rsidRDefault="00404514" w:rsidP="003156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D663B9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DB6C57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0E0F5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3D6655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FCE85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26EF"/>
    <w:multiLevelType w:val="hybridMultilevel"/>
    <w:tmpl w:val="C38EAFDC"/>
    <w:lvl w:ilvl="0" w:tplc="1220AC2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0860C5"/>
    <w:multiLevelType w:val="hybridMultilevel"/>
    <w:tmpl w:val="64E6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2205"/>
    <w:multiLevelType w:val="hybridMultilevel"/>
    <w:tmpl w:val="961A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101B00"/>
    <w:multiLevelType w:val="hybridMultilevel"/>
    <w:tmpl w:val="12F22F06"/>
    <w:lvl w:ilvl="0" w:tplc="138E845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14"/>
    <w:rsid w:val="000010A0"/>
    <w:rsid w:val="000017CA"/>
    <w:rsid w:val="00002822"/>
    <w:rsid w:val="00002DF1"/>
    <w:rsid w:val="00003CED"/>
    <w:rsid w:val="00004105"/>
    <w:rsid w:val="000047C6"/>
    <w:rsid w:val="00004C47"/>
    <w:rsid w:val="00005B81"/>
    <w:rsid w:val="0001051D"/>
    <w:rsid w:val="000133AC"/>
    <w:rsid w:val="00013F8C"/>
    <w:rsid w:val="0001577D"/>
    <w:rsid w:val="000163A9"/>
    <w:rsid w:val="00016C18"/>
    <w:rsid w:val="00016F19"/>
    <w:rsid w:val="000216BF"/>
    <w:rsid w:val="00022AAD"/>
    <w:rsid w:val="000267BD"/>
    <w:rsid w:val="000271DA"/>
    <w:rsid w:val="00027F5E"/>
    <w:rsid w:val="000300D1"/>
    <w:rsid w:val="00032566"/>
    <w:rsid w:val="00034282"/>
    <w:rsid w:val="000373B7"/>
    <w:rsid w:val="00041390"/>
    <w:rsid w:val="000444B5"/>
    <w:rsid w:val="00045DE0"/>
    <w:rsid w:val="00046BE5"/>
    <w:rsid w:val="00047CAA"/>
    <w:rsid w:val="000536E9"/>
    <w:rsid w:val="00055919"/>
    <w:rsid w:val="000567B5"/>
    <w:rsid w:val="00057A91"/>
    <w:rsid w:val="000604D2"/>
    <w:rsid w:val="00061457"/>
    <w:rsid w:val="00061616"/>
    <w:rsid w:val="00063A71"/>
    <w:rsid w:val="00063EC4"/>
    <w:rsid w:val="0006458F"/>
    <w:rsid w:val="00065230"/>
    <w:rsid w:val="00065F69"/>
    <w:rsid w:val="0007004E"/>
    <w:rsid w:val="00072E8D"/>
    <w:rsid w:val="00074B95"/>
    <w:rsid w:val="00075A24"/>
    <w:rsid w:val="00075F35"/>
    <w:rsid w:val="00076E75"/>
    <w:rsid w:val="00076FE5"/>
    <w:rsid w:val="0007723D"/>
    <w:rsid w:val="00077D08"/>
    <w:rsid w:val="0008158B"/>
    <w:rsid w:val="00081E74"/>
    <w:rsid w:val="00082E23"/>
    <w:rsid w:val="00083EF1"/>
    <w:rsid w:val="00084596"/>
    <w:rsid w:val="00086939"/>
    <w:rsid w:val="000872EA"/>
    <w:rsid w:val="0008730D"/>
    <w:rsid w:val="000877A6"/>
    <w:rsid w:val="00090311"/>
    <w:rsid w:val="00091561"/>
    <w:rsid w:val="00091BDF"/>
    <w:rsid w:val="00091FB8"/>
    <w:rsid w:val="000923E1"/>
    <w:rsid w:val="0009293C"/>
    <w:rsid w:val="0009427A"/>
    <w:rsid w:val="00095BA2"/>
    <w:rsid w:val="00097BC2"/>
    <w:rsid w:val="000A10F4"/>
    <w:rsid w:val="000A259A"/>
    <w:rsid w:val="000A3F1F"/>
    <w:rsid w:val="000A7089"/>
    <w:rsid w:val="000B0E02"/>
    <w:rsid w:val="000B1E85"/>
    <w:rsid w:val="000B23BD"/>
    <w:rsid w:val="000B364A"/>
    <w:rsid w:val="000B3924"/>
    <w:rsid w:val="000B582E"/>
    <w:rsid w:val="000B6403"/>
    <w:rsid w:val="000B73E2"/>
    <w:rsid w:val="000B7C7D"/>
    <w:rsid w:val="000C053E"/>
    <w:rsid w:val="000C0A84"/>
    <w:rsid w:val="000C1044"/>
    <w:rsid w:val="000C34A9"/>
    <w:rsid w:val="000D024F"/>
    <w:rsid w:val="000D14E2"/>
    <w:rsid w:val="000D16C9"/>
    <w:rsid w:val="000D2460"/>
    <w:rsid w:val="000D5407"/>
    <w:rsid w:val="000D6541"/>
    <w:rsid w:val="000E05EF"/>
    <w:rsid w:val="000E3242"/>
    <w:rsid w:val="000E36FA"/>
    <w:rsid w:val="000E4055"/>
    <w:rsid w:val="000E40CD"/>
    <w:rsid w:val="000E40FE"/>
    <w:rsid w:val="000E4B27"/>
    <w:rsid w:val="000E64F4"/>
    <w:rsid w:val="000E66E2"/>
    <w:rsid w:val="000F1108"/>
    <w:rsid w:val="000F1804"/>
    <w:rsid w:val="000F1E96"/>
    <w:rsid w:val="000F232A"/>
    <w:rsid w:val="000F3E52"/>
    <w:rsid w:val="000F5B18"/>
    <w:rsid w:val="000F5F6D"/>
    <w:rsid w:val="000F6ABA"/>
    <w:rsid w:val="000F7F79"/>
    <w:rsid w:val="00100A85"/>
    <w:rsid w:val="00100B0D"/>
    <w:rsid w:val="0010285B"/>
    <w:rsid w:val="001029F8"/>
    <w:rsid w:val="00102C5A"/>
    <w:rsid w:val="001032DA"/>
    <w:rsid w:val="00103D2B"/>
    <w:rsid w:val="00105046"/>
    <w:rsid w:val="0010535E"/>
    <w:rsid w:val="00107C9D"/>
    <w:rsid w:val="00110D61"/>
    <w:rsid w:val="00111648"/>
    <w:rsid w:val="00112D96"/>
    <w:rsid w:val="001133A4"/>
    <w:rsid w:val="00116D2D"/>
    <w:rsid w:val="00120B39"/>
    <w:rsid w:val="00121E03"/>
    <w:rsid w:val="001223BB"/>
    <w:rsid w:val="00122801"/>
    <w:rsid w:val="00122FC6"/>
    <w:rsid w:val="00124A58"/>
    <w:rsid w:val="00131058"/>
    <w:rsid w:val="0013141A"/>
    <w:rsid w:val="001314B5"/>
    <w:rsid w:val="00132C82"/>
    <w:rsid w:val="00136359"/>
    <w:rsid w:val="0013684B"/>
    <w:rsid w:val="00140537"/>
    <w:rsid w:val="00140B6B"/>
    <w:rsid w:val="00142DFB"/>
    <w:rsid w:val="00147151"/>
    <w:rsid w:val="00147327"/>
    <w:rsid w:val="00147E29"/>
    <w:rsid w:val="001515D7"/>
    <w:rsid w:val="00151BB0"/>
    <w:rsid w:val="0015201C"/>
    <w:rsid w:val="001527A4"/>
    <w:rsid w:val="0015373E"/>
    <w:rsid w:val="0015430F"/>
    <w:rsid w:val="00155F67"/>
    <w:rsid w:val="00156252"/>
    <w:rsid w:val="00156CAC"/>
    <w:rsid w:val="00160446"/>
    <w:rsid w:val="001607F4"/>
    <w:rsid w:val="00162AC1"/>
    <w:rsid w:val="00162DC8"/>
    <w:rsid w:val="0016367E"/>
    <w:rsid w:val="0016514C"/>
    <w:rsid w:val="001658DC"/>
    <w:rsid w:val="00166187"/>
    <w:rsid w:val="001662AE"/>
    <w:rsid w:val="00167C59"/>
    <w:rsid w:val="00167DA7"/>
    <w:rsid w:val="00171F87"/>
    <w:rsid w:val="00172DA3"/>
    <w:rsid w:val="00173BA7"/>
    <w:rsid w:val="001740C7"/>
    <w:rsid w:val="00176FD7"/>
    <w:rsid w:val="001775F6"/>
    <w:rsid w:val="001815F7"/>
    <w:rsid w:val="00183586"/>
    <w:rsid w:val="00184826"/>
    <w:rsid w:val="00185156"/>
    <w:rsid w:val="00186235"/>
    <w:rsid w:val="001909D8"/>
    <w:rsid w:val="001915A4"/>
    <w:rsid w:val="00191776"/>
    <w:rsid w:val="00192506"/>
    <w:rsid w:val="00193629"/>
    <w:rsid w:val="001954FF"/>
    <w:rsid w:val="001961C6"/>
    <w:rsid w:val="001A1250"/>
    <w:rsid w:val="001A2D97"/>
    <w:rsid w:val="001A3D36"/>
    <w:rsid w:val="001A4678"/>
    <w:rsid w:val="001A5169"/>
    <w:rsid w:val="001A59B5"/>
    <w:rsid w:val="001A7261"/>
    <w:rsid w:val="001A7DB7"/>
    <w:rsid w:val="001B0B5D"/>
    <w:rsid w:val="001B1120"/>
    <w:rsid w:val="001B2F07"/>
    <w:rsid w:val="001B33F2"/>
    <w:rsid w:val="001B3411"/>
    <w:rsid w:val="001B55A5"/>
    <w:rsid w:val="001B573A"/>
    <w:rsid w:val="001B6CED"/>
    <w:rsid w:val="001B7B0C"/>
    <w:rsid w:val="001C0429"/>
    <w:rsid w:val="001C3303"/>
    <w:rsid w:val="001C3F60"/>
    <w:rsid w:val="001C3F9B"/>
    <w:rsid w:val="001C4EAF"/>
    <w:rsid w:val="001C6305"/>
    <w:rsid w:val="001C6C39"/>
    <w:rsid w:val="001C70D3"/>
    <w:rsid w:val="001D0145"/>
    <w:rsid w:val="001D1F85"/>
    <w:rsid w:val="001D3134"/>
    <w:rsid w:val="001D354B"/>
    <w:rsid w:val="001D3A57"/>
    <w:rsid w:val="001D4ECB"/>
    <w:rsid w:val="001D705F"/>
    <w:rsid w:val="001D7922"/>
    <w:rsid w:val="001D7946"/>
    <w:rsid w:val="001E2DB4"/>
    <w:rsid w:val="001E3016"/>
    <w:rsid w:val="001E4C39"/>
    <w:rsid w:val="001E54BD"/>
    <w:rsid w:val="001E6D99"/>
    <w:rsid w:val="001F20DC"/>
    <w:rsid w:val="001F21F6"/>
    <w:rsid w:val="001F2945"/>
    <w:rsid w:val="001F2B6B"/>
    <w:rsid w:val="001F37C8"/>
    <w:rsid w:val="001F3995"/>
    <w:rsid w:val="001F50F4"/>
    <w:rsid w:val="001F53EB"/>
    <w:rsid w:val="001F752C"/>
    <w:rsid w:val="00200BFE"/>
    <w:rsid w:val="00202FB2"/>
    <w:rsid w:val="00203AE8"/>
    <w:rsid w:val="002055BE"/>
    <w:rsid w:val="002106D8"/>
    <w:rsid w:val="002116A2"/>
    <w:rsid w:val="00213796"/>
    <w:rsid w:val="002152EC"/>
    <w:rsid w:val="002161AD"/>
    <w:rsid w:val="00221169"/>
    <w:rsid w:val="00221406"/>
    <w:rsid w:val="00223307"/>
    <w:rsid w:val="00224722"/>
    <w:rsid w:val="00224A21"/>
    <w:rsid w:val="00224DD4"/>
    <w:rsid w:val="002265B2"/>
    <w:rsid w:val="00227027"/>
    <w:rsid w:val="002274D1"/>
    <w:rsid w:val="0022792F"/>
    <w:rsid w:val="0022798A"/>
    <w:rsid w:val="00227B37"/>
    <w:rsid w:val="002303E6"/>
    <w:rsid w:val="00232675"/>
    <w:rsid w:val="002334DE"/>
    <w:rsid w:val="0023543F"/>
    <w:rsid w:val="002360FF"/>
    <w:rsid w:val="00237709"/>
    <w:rsid w:val="00240B00"/>
    <w:rsid w:val="00240F9C"/>
    <w:rsid w:val="00241BCF"/>
    <w:rsid w:val="00246516"/>
    <w:rsid w:val="002465E7"/>
    <w:rsid w:val="00246736"/>
    <w:rsid w:val="00247851"/>
    <w:rsid w:val="00251328"/>
    <w:rsid w:val="002515D8"/>
    <w:rsid w:val="00252004"/>
    <w:rsid w:val="00253415"/>
    <w:rsid w:val="00256F56"/>
    <w:rsid w:val="00257DD1"/>
    <w:rsid w:val="0026190E"/>
    <w:rsid w:val="0026253A"/>
    <w:rsid w:val="00266CEB"/>
    <w:rsid w:val="00266EB1"/>
    <w:rsid w:val="00267548"/>
    <w:rsid w:val="002703B4"/>
    <w:rsid w:val="00270A82"/>
    <w:rsid w:val="00271107"/>
    <w:rsid w:val="00271432"/>
    <w:rsid w:val="00271796"/>
    <w:rsid w:val="00271850"/>
    <w:rsid w:val="0027452D"/>
    <w:rsid w:val="002749FE"/>
    <w:rsid w:val="00274F79"/>
    <w:rsid w:val="00277EB0"/>
    <w:rsid w:val="00281D79"/>
    <w:rsid w:val="00282861"/>
    <w:rsid w:val="002852CA"/>
    <w:rsid w:val="002876FC"/>
    <w:rsid w:val="00290227"/>
    <w:rsid w:val="002918CF"/>
    <w:rsid w:val="0029277B"/>
    <w:rsid w:val="00292A37"/>
    <w:rsid w:val="0029444E"/>
    <w:rsid w:val="00295531"/>
    <w:rsid w:val="002960BB"/>
    <w:rsid w:val="0029612A"/>
    <w:rsid w:val="002961C2"/>
    <w:rsid w:val="00296424"/>
    <w:rsid w:val="00296D87"/>
    <w:rsid w:val="002A0B23"/>
    <w:rsid w:val="002A24D0"/>
    <w:rsid w:val="002A5315"/>
    <w:rsid w:val="002A64EB"/>
    <w:rsid w:val="002B17E8"/>
    <w:rsid w:val="002B19D1"/>
    <w:rsid w:val="002B52EB"/>
    <w:rsid w:val="002B60B1"/>
    <w:rsid w:val="002B6C7B"/>
    <w:rsid w:val="002B744E"/>
    <w:rsid w:val="002B7726"/>
    <w:rsid w:val="002B7789"/>
    <w:rsid w:val="002C057C"/>
    <w:rsid w:val="002C147D"/>
    <w:rsid w:val="002C40B1"/>
    <w:rsid w:val="002C533D"/>
    <w:rsid w:val="002C6957"/>
    <w:rsid w:val="002D5A89"/>
    <w:rsid w:val="002D5D3A"/>
    <w:rsid w:val="002D7A22"/>
    <w:rsid w:val="002E1209"/>
    <w:rsid w:val="002E1BC9"/>
    <w:rsid w:val="002E4CBE"/>
    <w:rsid w:val="002E660D"/>
    <w:rsid w:val="002E7D48"/>
    <w:rsid w:val="002F0052"/>
    <w:rsid w:val="002F41FD"/>
    <w:rsid w:val="002F458D"/>
    <w:rsid w:val="002F4A63"/>
    <w:rsid w:val="002F4CA5"/>
    <w:rsid w:val="002F4FDB"/>
    <w:rsid w:val="002F51BD"/>
    <w:rsid w:val="002F53CD"/>
    <w:rsid w:val="002F5625"/>
    <w:rsid w:val="002F71F1"/>
    <w:rsid w:val="002F7A2B"/>
    <w:rsid w:val="00300872"/>
    <w:rsid w:val="00302323"/>
    <w:rsid w:val="00304CAF"/>
    <w:rsid w:val="0030593A"/>
    <w:rsid w:val="00306EE3"/>
    <w:rsid w:val="00307B9E"/>
    <w:rsid w:val="003122E9"/>
    <w:rsid w:val="0031314D"/>
    <w:rsid w:val="003146E1"/>
    <w:rsid w:val="0031561B"/>
    <w:rsid w:val="00315F11"/>
    <w:rsid w:val="00316D2E"/>
    <w:rsid w:val="003175DE"/>
    <w:rsid w:val="003208F1"/>
    <w:rsid w:val="00322A85"/>
    <w:rsid w:val="003238B2"/>
    <w:rsid w:val="0032424F"/>
    <w:rsid w:val="00324B33"/>
    <w:rsid w:val="00330835"/>
    <w:rsid w:val="0033204B"/>
    <w:rsid w:val="00332FAF"/>
    <w:rsid w:val="00333334"/>
    <w:rsid w:val="00333361"/>
    <w:rsid w:val="00334D9A"/>
    <w:rsid w:val="003356F2"/>
    <w:rsid w:val="00335AFE"/>
    <w:rsid w:val="003365E6"/>
    <w:rsid w:val="00336CB7"/>
    <w:rsid w:val="003407FA"/>
    <w:rsid w:val="00342581"/>
    <w:rsid w:val="00344281"/>
    <w:rsid w:val="00344718"/>
    <w:rsid w:val="003450E3"/>
    <w:rsid w:val="00345E98"/>
    <w:rsid w:val="003476DD"/>
    <w:rsid w:val="003513E5"/>
    <w:rsid w:val="00351E51"/>
    <w:rsid w:val="003529D4"/>
    <w:rsid w:val="003531C3"/>
    <w:rsid w:val="00354CE5"/>
    <w:rsid w:val="00356836"/>
    <w:rsid w:val="00356E35"/>
    <w:rsid w:val="003578FA"/>
    <w:rsid w:val="003603F8"/>
    <w:rsid w:val="0036515B"/>
    <w:rsid w:val="00366133"/>
    <w:rsid w:val="00367053"/>
    <w:rsid w:val="00371BBB"/>
    <w:rsid w:val="003723A3"/>
    <w:rsid w:val="0037244A"/>
    <w:rsid w:val="00373B60"/>
    <w:rsid w:val="00374D77"/>
    <w:rsid w:val="00375256"/>
    <w:rsid w:val="00376F53"/>
    <w:rsid w:val="00377333"/>
    <w:rsid w:val="003779EA"/>
    <w:rsid w:val="00382942"/>
    <w:rsid w:val="003837C5"/>
    <w:rsid w:val="003845B1"/>
    <w:rsid w:val="00384D14"/>
    <w:rsid w:val="00386316"/>
    <w:rsid w:val="00390ED2"/>
    <w:rsid w:val="00391DF0"/>
    <w:rsid w:val="0039249D"/>
    <w:rsid w:val="003925EC"/>
    <w:rsid w:val="003945E0"/>
    <w:rsid w:val="00394CA1"/>
    <w:rsid w:val="0039523F"/>
    <w:rsid w:val="00395B23"/>
    <w:rsid w:val="00396DE0"/>
    <w:rsid w:val="00396F42"/>
    <w:rsid w:val="00397144"/>
    <w:rsid w:val="003974A2"/>
    <w:rsid w:val="00397A43"/>
    <w:rsid w:val="003A0F5A"/>
    <w:rsid w:val="003A4978"/>
    <w:rsid w:val="003A4C80"/>
    <w:rsid w:val="003A70B8"/>
    <w:rsid w:val="003A7671"/>
    <w:rsid w:val="003B0703"/>
    <w:rsid w:val="003B08CC"/>
    <w:rsid w:val="003B0F2A"/>
    <w:rsid w:val="003B3369"/>
    <w:rsid w:val="003B48F1"/>
    <w:rsid w:val="003B7648"/>
    <w:rsid w:val="003B7AE6"/>
    <w:rsid w:val="003C260D"/>
    <w:rsid w:val="003C3BE4"/>
    <w:rsid w:val="003C5382"/>
    <w:rsid w:val="003C6656"/>
    <w:rsid w:val="003D0962"/>
    <w:rsid w:val="003D4BB1"/>
    <w:rsid w:val="003D4C7F"/>
    <w:rsid w:val="003D56BC"/>
    <w:rsid w:val="003D694A"/>
    <w:rsid w:val="003E0C37"/>
    <w:rsid w:val="003E1960"/>
    <w:rsid w:val="003E19C2"/>
    <w:rsid w:val="003E40F7"/>
    <w:rsid w:val="003E45BB"/>
    <w:rsid w:val="003E4629"/>
    <w:rsid w:val="003E52BB"/>
    <w:rsid w:val="003E58C9"/>
    <w:rsid w:val="003E64A6"/>
    <w:rsid w:val="003E65BE"/>
    <w:rsid w:val="003E6A63"/>
    <w:rsid w:val="003E6B1D"/>
    <w:rsid w:val="003E7CDA"/>
    <w:rsid w:val="003F1644"/>
    <w:rsid w:val="003F21EA"/>
    <w:rsid w:val="003F4D4D"/>
    <w:rsid w:val="003F71E7"/>
    <w:rsid w:val="0040059E"/>
    <w:rsid w:val="00404514"/>
    <w:rsid w:val="004047E1"/>
    <w:rsid w:val="00404B30"/>
    <w:rsid w:val="00406004"/>
    <w:rsid w:val="00406ACD"/>
    <w:rsid w:val="0040767B"/>
    <w:rsid w:val="00407BFC"/>
    <w:rsid w:val="004106A2"/>
    <w:rsid w:val="00411079"/>
    <w:rsid w:val="00412590"/>
    <w:rsid w:val="00415C71"/>
    <w:rsid w:val="00416E62"/>
    <w:rsid w:val="0041793B"/>
    <w:rsid w:val="00421464"/>
    <w:rsid w:val="00421C87"/>
    <w:rsid w:val="0042330E"/>
    <w:rsid w:val="00424ABF"/>
    <w:rsid w:val="00424D15"/>
    <w:rsid w:val="00425311"/>
    <w:rsid w:val="00426203"/>
    <w:rsid w:val="004264BB"/>
    <w:rsid w:val="00430A3F"/>
    <w:rsid w:val="00430F64"/>
    <w:rsid w:val="00433F65"/>
    <w:rsid w:val="00434E57"/>
    <w:rsid w:val="0043527C"/>
    <w:rsid w:val="0044055F"/>
    <w:rsid w:val="00441639"/>
    <w:rsid w:val="00442D5A"/>
    <w:rsid w:val="00442E99"/>
    <w:rsid w:val="00444FAE"/>
    <w:rsid w:val="00445FA2"/>
    <w:rsid w:val="00446F59"/>
    <w:rsid w:val="00447021"/>
    <w:rsid w:val="004479D8"/>
    <w:rsid w:val="00453BFC"/>
    <w:rsid w:val="00453D3B"/>
    <w:rsid w:val="00454424"/>
    <w:rsid w:val="004564C3"/>
    <w:rsid w:val="004566BD"/>
    <w:rsid w:val="00456869"/>
    <w:rsid w:val="004576F0"/>
    <w:rsid w:val="004629E7"/>
    <w:rsid w:val="00463EEF"/>
    <w:rsid w:val="00463FB6"/>
    <w:rsid w:val="00465E0A"/>
    <w:rsid w:val="00466130"/>
    <w:rsid w:val="00466F0D"/>
    <w:rsid w:val="004675D9"/>
    <w:rsid w:val="0047020F"/>
    <w:rsid w:val="00470D81"/>
    <w:rsid w:val="0047117D"/>
    <w:rsid w:val="004718E9"/>
    <w:rsid w:val="0047483F"/>
    <w:rsid w:val="00474920"/>
    <w:rsid w:val="00474CEE"/>
    <w:rsid w:val="00476580"/>
    <w:rsid w:val="00476654"/>
    <w:rsid w:val="0047683D"/>
    <w:rsid w:val="00477406"/>
    <w:rsid w:val="00480231"/>
    <w:rsid w:val="00481D52"/>
    <w:rsid w:val="00482A35"/>
    <w:rsid w:val="00483228"/>
    <w:rsid w:val="004840DF"/>
    <w:rsid w:val="004848AF"/>
    <w:rsid w:val="00484C2B"/>
    <w:rsid w:val="00484E07"/>
    <w:rsid w:val="0048513E"/>
    <w:rsid w:val="0048543E"/>
    <w:rsid w:val="0049005C"/>
    <w:rsid w:val="00490451"/>
    <w:rsid w:val="00490519"/>
    <w:rsid w:val="0049115B"/>
    <w:rsid w:val="00491605"/>
    <w:rsid w:val="00491D1C"/>
    <w:rsid w:val="00492B34"/>
    <w:rsid w:val="00494394"/>
    <w:rsid w:val="00495D9B"/>
    <w:rsid w:val="004975D9"/>
    <w:rsid w:val="00497B3D"/>
    <w:rsid w:val="004A1BDE"/>
    <w:rsid w:val="004A24F5"/>
    <w:rsid w:val="004A51B6"/>
    <w:rsid w:val="004A5202"/>
    <w:rsid w:val="004A5A4C"/>
    <w:rsid w:val="004A5BAD"/>
    <w:rsid w:val="004A5C71"/>
    <w:rsid w:val="004A6F43"/>
    <w:rsid w:val="004B0F45"/>
    <w:rsid w:val="004B37DA"/>
    <w:rsid w:val="004B3B8B"/>
    <w:rsid w:val="004B43CE"/>
    <w:rsid w:val="004B5DA5"/>
    <w:rsid w:val="004B649F"/>
    <w:rsid w:val="004C0E58"/>
    <w:rsid w:val="004D1F78"/>
    <w:rsid w:val="004D2114"/>
    <w:rsid w:val="004D304B"/>
    <w:rsid w:val="004D3C68"/>
    <w:rsid w:val="004D4096"/>
    <w:rsid w:val="004D7D17"/>
    <w:rsid w:val="004E122D"/>
    <w:rsid w:val="004E161E"/>
    <w:rsid w:val="004E208E"/>
    <w:rsid w:val="004E41BE"/>
    <w:rsid w:val="004E47B8"/>
    <w:rsid w:val="004E485B"/>
    <w:rsid w:val="004E4F0F"/>
    <w:rsid w:val="004F0822"/>
    <w:rsid w:val="004F0F21"/>
    <w:rsid w:val="004F1E22"/>
    <w:rsid w:val="004F269D"/>
    <w:rsid w:val="004F3497"/>
    <w:rsid w:val="004F62D6"/>
    <w:rsid w:val="004F6979"/>
    <w:rsid w:val="004F6C80"/>
    <w:rsid w:val="004F6E53"/>
    <w:rsid w:val="004F6E61"/>
    <w:rsid w:val="004F6F51"/>
    <w:rsid w:val="004F7DA3"/>
    <w:rsid w:val="004F7FEC"/>
    <w:rsid w:val="00502408"/>
    <w:rsid w:val="00503092"/>
    <w:rsid w:val="00504A9A"/>
    <w:rsid w:val="00507AE8"/>
    <w:rsid w:val="00507B27"/>
    <w:rsid w:val="00512333"/>
    <w:rsid w:val="00513DAD"/>
    <w:rsid w:val="0051581D"/>
    <w:rsid w:val="00515FF1"/>
    <w:rsid w:val="0051750D"/>
    <w:rsid w:val="0052224B"/>
    <w:rsid w:val="00523634"/>
    <w:rsid w:val="005252F5"/>
    <w:rsid w:val="00525AA6"/>
    <w:rsid w:val="00525C1F"/>
    <w:rsid w:val="0052761E"/>
    <w:rsid w:val="005307F1"/>
    <w:rsid w:val="00530F3A"/>
    <w:rsid w:val="005315F1"/>
    <w:rsid w:val="00531954"/>
    <w:rsid w:val="005335CB"/>
    <w:rsid w:val="005341B8"/>
    <w:rsid w:val="005345E3"/>
    <w:rsid w:val="0053787F"/>
    <w:rsid w:val="0054160C"/>
    <w:rsid w:val="00542B1A"/>
    <w:rsid w:val="0054426A"/>
    <w:rsid w:val="00545050"/>
    <w:rsid w:val="0054580D"/>
    <w:rsid w:val="0055100E"/>
    <w:rsid w:val="005519A2"/>
    <w:rsid w:val="00554353"/>
    <w:rsid w:val="00556B80"/>
    <w:rsid w:val="00560F7D"/>
    <w:rsid w:val="00561138"/>
    <w:rsid w:val="0056143C"/>
    <w:rsid w:val="005615AD"/>
    <w:rsid w:val="0056296E"/>
    <w:rsid w:val="00563482"/>
    <w:rsid w:val="0056410C"/>
    <w:rsid w:val="0056476D"/>
    <w:rsid w:val="005655B9"/>
    <w:rsid w:val="00565AD1"/>
    <w:rsid w:val="00565FDA"/>
    <w:rsid w:val="0056640C"/>
    <w:rsid w:val="0056714B"/>
    <w:rsid w:val="00567569"/>
    <w:rsid w:val="00567CE9"/>
    <w:rsid w:val="005709ED"/>
    <w:rsid w:val="00570A80"/>
    <w:rsid w:val="00570E69"/>
    <w:rsid w:val="00571D24"/>
    <w:rsid w:val="005729E7"/>
    <w:rsid w:val="005739C0"/>
    <w:rsid w:val="00573DCF"/>
    <w:rsid w:val="005743CC"/>
    <w:rsid w:val="005765B3"/>
    <w:rsid w:val="00576CD7"/>
    <w:rsid w:val="005774C3"/>
    <w:rsid w:val="0058077A"/>
    <w:rsid w:val="00581088"/>
    <w:rsid w:val="00581C01"/>
    <w:rsid w:val="00582679"/>
    <w:rsid w:val="00582787"/>
    <w:rsid w:val="00584DE8"/>
    <w:rsid w:val="005858A2"/>
    <w:rsid w:val="00587BEA"/>
    <w:rsid w:val="00590795"/>
    <w:rsid w:val="005927A7"/>
    <w:rsid w:val="00593906"/>
    <w:rsid w:val="00594502"/>
    <w:rsid w:val="00594D0C"/>
    <w:rsid w:val="005957FA"/>
    <w:rsid w:val="00597B0B"/>
    <w:rsid w:val="005A1203"/>
    <w:rsid w:val="005A2675"/>
    <w:rsid w:val="005A31BA"/>
    <w:rsid w:val="005A35CB"/>
    <w:rsid w:val="005A3E2C"/>
    <w:rsid w:val="005A42AE"/>
    <w:rsid w:val="005A59FB"/>
    <w:rsid w:val="005A5D1E"/>
    <w:rsid w:val="005A5E77"/>
    <w:rsid w:val="005B0666"/>
    <w:rsid w:val="005B41D0"/>
    <w:rsid w:val="005B483F"/>
    <w:rsid w:val="005B5B9D"/>
    <w:rsid w:val="005B5F2E"/>
    <w:rsid w:val="005B5F58"/>
    <w:rsid w:val="005B6D52"/>
    <w:rsid w:val="005C08F3"/>
    <w:rsid w:val="005C3B98"/>
    <w:rsid w:val="005C7F37"/>
    <w:rsid w:val="005D34A8"/>
    <w:rsid w:val="005D3DF9"/>
    <w:rsid w:val="005D458F"/>
    <w:rsid w:val="005D52D6"/>
    <w:rsid w:val="005D5F60"/>
    <w:rsid w:val="005D6B29"/>
    <w:rsid w:val="005E0915"/>
    <w:rsid w:val="005E0E41"/>
    <w:rsid w:val="005E239D"/>
    <w:rsid w:val="005E319B"/>
    <w:rsid w:val="005E3B35"/>
    <w:rsid w:val="005E549A"/>
    <w:rsid w:val="005E5D41"/>
    <w:rsid w:val="005E6E5C"/>
    <w:rsid w:val="005E702C"/>
    <w:rsid w:val="005F0899"/>
    <w:rsid w:val="005F150F"/>
    <w:rsid w:val="005F2E80"/>
    <w:rsid w:val="005F451E"/>
    <w:rsid w:val="005F618B"/>
    <w:rsid w:val="005F6A55"/>
    <w:rsid w:val="005F6BFA"/>
    <w:rsid w:val="0060085E"/>
    <w:rsid w:val="00600EF9"/>
    <w:rsid w:val="00602F8F"/>
    <w:rsid w:val="00603C71"/>
    <w:rsid w:val="00604AD3"/>
    <w:rsid w:val="00604DC0"/>
    <w:rsid w:val="00604E00"/>
    <w:rsid w:val="006064D1"/>
    <w:rsid w:val="00607674"/>
    <w:rsid w:val="00607F88"/>
    <w:rsid w:val="006106EA"/>
    <w:rsid w:val="0061140D"/>
    <w:rsid w:val="00611FD8"/>
    <w:rsid w:val="00612792"/>
    <w:rsid w:val="00612CE8"/>
    <w:rsid w:val="00613FD5"/>
    <w:rsid w:val="00615775"/>
    <w:rsid w:val="00615939"/>
    <w:rsid w:val="00615AB1"/>
    <w:rsid w:val="006169A8"/>
    <w:rsid w:val="00617980"/>
    <w:rsid w:val="006204AD"/>
    <w:rsid w:val="006219EC"/>
    <w:rsid w:val="00621F08"/>
    <w:rsid w:val="006259F9"/>
    <w:rsid w:val="00626160"/>
    <w:rsid w:val="00626732"/>
    <w:rsid w:val="006301AC"/>
    <w:rsid w:val="00632198"/>
    <w:rsid w:val="00633705"/>
    <w:rsid w:val="006346CD"/>
    <w:rsid w:val="0064112C"/>
    <w:rsid w:val="00641B08"/>
    <w:rsid w:val="006422C9"/>
    <w:rsid w:val="00642C86"/>
    <w:rsid w:val="00643199"/>
    <w:rsid w:val="006435F5"/>
    <w:rsid w:val="0064568A"/>
    <w:rsid w:val="00645835"/>
    <w:rsid w:val="006464D8"/>
    <w:rsid w:val="00646525"/>
    <w:rsid w:val="00650903"/>
    <w:rsid w:val="00653F74"/>
    <w:rsid w:val="006547A9"/>
    <w:rsid w:val="00654855"/>
    <w:rsid w:val="0065653B"/>
    <w:rsid w:val="00656B48"/>
    <w:rsid w:val="00660C7B"/>
    <w:rsid w:val="0066181E"/>
    <w:rsid w:val="006619C9"/>
    <w:rsid w:val="0066310A"/>
    <w:rsid w:val="00663A4B"/>
    <w:rsid w:val="00664403"/>
    <w:rsid w:val="0066508D"/>
    <w:rsid w:val="00665135"/>
    <w:rsid w:val="0066532F"/>
    <w:rsid w:val="00666874"/>
    <w:rsid w:val="00671CE6"/>
    <w:rsid w:val="006723C3"/>
    <w:rsid w:val="00673FB4"/>
    <w:rsid w:val="00676839"/>
    <w:rsid w:val="00677048"/>
    <w:rsid w:val="00677BA9"/>
    <w:rsid w:val="006801F6"/>
    <w:rsid w:val="006830BD"/>
    <w:rsid w:val="00683CCF"/>
    <w:rsid w:val="00684285"/>
    <w:rsid w:val="006846A0"/>
    <w:rsid w:val="006849EF"/>
    <w:rsid w:val="006860F2"/>
    <w:rsid w:val="0068679A"/>
    <w:rsid w:val="006870BF"/>
    <w:rsid w:val="006927A3"/>
    <w:rsid w:val="00692EE4"/>
    <w:rsid w:val="00696E8E"/>
    <w:rsid w:val="006A045D"/>
    <w:rsid w:val="006A2351"/>
    <w:rsid w:val="006A5FB1"/>
    <w:rsid w:val="006A67FE"/>
    <w:rsid w:val="006B030D"/>
    <w:rsid w:val="006B0E92"/>
    <w:rsid w:val="006B26A8"/>
    <w:rsid w:val="006B2B7D"/>
    <w:rsid w:val="006B2BDE"/>
    <w:rsid w:val="006B4F48"/>
    <w:rsid w:val="006B51F8"/>
    <w:rsid w:val="006B646E"/>
    <w:rsid w:val="006B6541"/>
    <w:rsid w:val="006B7E41"/>
    <w:rsid w:val="006B7EB4"/>
    <w:rsid w:val="006C20BC"/>
    <w:rsid w:val="006C45E6"/>
    <w:rsid w:val="006C4937"/>
    <w:rsid w:val="006C78C1"/>
    <w:rsid w:val="006C7C21"/>
    <w:rsid w:val="006D041F"/>
    <w:rsid w:val="006D18CD"/>
    <w:rsid w:val="006D2D33"/>
    <w:rsid w:val="006D3446"/>
    <w:rsid w:val="006D5F70"/>
    <w:rsid w:val="006D6D17"/>
    <w:rsid w:val="006E1C3C"/>
    <w:rsid w:val="006E20C0"/>
    <w:rsid w:val="006E2DA2"/>
    <w:rsid w:val="006E444F"/>
    <w:rsid w:val="006E5443"/>
    <w:rsid w:val="006E74DB"/>
    <w:rsid w:val="006E7AD9"/>
    <w:rsid w:val="006E7C1E"/>
    <w:rsid w:val="006F1038"/>
    <w:rsid w:val="006F148F"/>
    <w:rsid w:val="006F2259"/>
    <w:rsid w:val="006F251A"/>
    <w:rsid w:val="006F26A1"/>
    <w:rsid w:val="006F3C34"/>
    <w:rsid w:val="006F4271"/>
    <w:rsid w:val="006F56A9"/>
    <w:rsid w:val="006F6335"/>
    <w:rsid w:val="00700DA5"/>
    <w:rsid w:val="007014A0"/>
    <w:rsid w:val="00704340"/>
    <w:rsid w:val="007044D2"/>
    <w:rsid w:val="0070594A"/>
    <w:rsid w:val="00705B23"/>
    <w:rsid w:val="007070E9"/>
    <w:rsid w:val="00710DB8"/>
    <w:rsid w:val="00712047"/>
    <w:rsid w:val="00715405"/>
    <w:rsid w:val="00720A10"/>
    <w:rsid w:val="007220F2"/>
    <w:rsid w:val="00723A73"/>
    <w:rsid w:val="00724238"/>
    <w:rsid w:val="0072445E"/>
    <w:rsid w:val="00725E15"/>
    <w:rsid w:val="00725F17"/>
    <w:rsid w:val="007268E9"/>
    <w:rsid w:val="007274AF"/>
    <w:rsid w:val="00731909"/>
    <w:rsid w:val="00731D50"/>
    <w:rsid w:val="007320BD"/>
    <w:rsid w:val="00733D2C"/>
    <w:rsid w:val="00734256"/>
    <w:rsid w:val="007370FB"/>
    <w:rsid w:val="007403D0"/>
    <w:rsid w:val="00741F62"/>
    <w:rsid w:val="0074241F"/>
    <w:rsid w:val="00743AC9"/>
    <w:rsid w:val="00743E9F"/>
    <w:rsid w:val="00744708"/>
    <w:rsid w:val="0074546A"/>
    <w:rsid w:val="00745F77"/>
    <w:rsid w:val="007466DC"/>
    <w:rsid w:val="007503B7"/>
    <w:rsid w:val="00750E68"/>
    <w:rsid w:val="00752047"/>
    <w:rsid w:val="00755908"/>
    <w:rsid w:val="007564B3"/>
    <w:rsid w:val="00756EF0"/>
    <w:rsid w:val="0075795F"/>
    <w:rsid w:val="00760798"/>
    <w:rsid w:val="00762306"/>
    <w:rsid w:val="00763640"/>
    <w:rsid w:val="00764289"/>
    <w:rsid w:val="00764A34"/>
    <w:rsid w:val="007658B1"/>
    <w:rsid w:val="007668F8"/>
    <w:rsid w:val="00767365"/>
    <w:rsid w:val="007700F8"/>
    <w:rsid w:val="007728A5"/>
    <w:rsid w:val="00772EE3"/>
    <w:rsid w:val="00777498"/>
    <w:rsid w:val="007775BA"/>
    <w:rsid w:val="00780940"/>
    <w:rsid w:val="00782966"/>
    <w:rsid w:val="0078434E"/>
    <w:rsid w:val="007858F1"/>
    <w:rsid w:val="00790E06"/>
    <w:rsid w:val="0079149F"/>
    <w:rsid w:val="00791A43"/>
    <w:rsid w:val="00793F71"/>
    <w:rsid w:val="00794702"/>
    <w:rsid w:val="007951CE"/>
    <w:rsid w:val="007957B1"/>
    <w:rsid w:val="007961B8"/>
    <w:rsid w:val="0079659E"/>
    <w:rsid w:val="007A10A8"/>
    <w:rsid w:val="007A2E19"/>
    <w:rsid w:val="007A2E52"/>
    <w:rsid w:val="007A3778"/>
    <w:rsid w:val="007A3D5C"/>
    <w:rsid w:val="007A651E"/>
    <w:rsid w:val="007A6641"/>
    <w:rsid w:val="007A7CCE"/>
    <w:rsid w:val="007B0BA6"/>
    <w:rsid w:val="007B2F40"/>
    <w:rsid w:val="007B327E"/>
    <w:rsid w:val="007B3C1F"/>
    <w:rsid w:val="007B3D1C"/>
    <w:rsid w:val="007B4B9D"/>
    <w:rsid w:val="007C01F3"/>
    <w:rsid w:val="007C19E1"/>
    <w:rsid w:val="007C4C32"/>
    <w:rsid w:val="007C54DB"/>
    <w:rsid w:val="007C5815"/>
    <w:rsid w:val="007C65B0"/>
    <w:rsid w:val="007C754D"/>
    <w:rsid w:val="007C7632"/>
    <w:rsid w:val="007C7D6F"/>
    <w:rsid w:val="007D4302"/>
    <w:rsid w:val="007D67C4"/>
    <w:rsid w:val="007D698F"/>
    <w:rsid w:val="007D7D2D"/>
    <w:rsid w:val="007D7E34"/>
    <w:rsid w:val="007E0799"/>
    <w:rsid w:val="007E17BF"/>
    <w:rsid w:val="007E472C"/>
    <w:rsid w:val="007F00F7"/>
    <w:rsid w:val="007F35F9"/>
    <w:rsid w:val="007F3804"/>
    <w:rsid w:val="007F6E78"/>
    <w:rsid w:val="007F7241"/>
    <w:rsid w:val="00800922"/>
    <w:rsid w:val="00803C55"/>
    <w:rsid w:val="00806332"/>
    <w:rsid w:val="00806362"/>
    <w:rsid w:val="00806A5F"/>
    <w:rsid w:val="00806AAD"/>
    <w:rsid w:val="0081014B"/>
    <w:rsid w:val="008108F3"/>
    <w:rsid w:val="0081175F"/>
    <w:rsid w:val="00812A27"/>
    <w:rsid w:val="0081358E"/>
    <w:rsid w:val="008159E7"/>
    <w:rsid w:val="008164FB"/>
    <w:rsid w:val="008169C1"/>
    <w:rsid w:val="00820773"/>
    <w:rsid w:val="0082427A"/>
    <w:rsid w:val="00824FC0"/>
    <w:rsid w:val="00826EE6"/>
    <w:rsid w:val="0082753C"/>
    <w:rsid w:val="00827989"/>
    <w:rsid w:val="00827EAF"/>
    <w:rsid w:val="00830C35"/>
    <w:rsid w:val="00830E7D"/>
    <w:rsid w:val="0083199C"/>
    <w:rsid w:val="00832FB2"/>
    <w:rsid w:val="00835923"/>
    <w:rsid w:val="00836009"/>
    <w:rsid w:val="0083711D"/>
    <w:rsid w:val="00840B7D"/>
    <w:rsid w:val="0084485E"/>
    <w:rsid w:val="00844C1F"/>
    <w:rsid w:val="00845B00"/>
    <w:rsid w:val="00846B11"/>
    <w:rsid w:val="00847518"/>
    <w:rsid w:val="00847DE7"/>
    <w:rsid w:val="00851B14"/>
    <w:rsid w:val="008522E4"/>
    <w:rsid w:val="008528CD"/>
    <w:rsid w:val="00856833"/>
    <w:rsid w:val="00856A4F"/>
    <w:rsid w:val="00857B0E"/>
    <w:rsid w:val="00857BAF"/>
    <w:rsid w:val="00860A66"/>
    <w:rsid w:val="00860EA7"/>
    <w:rsid w:val="00862D24"/>
    <w:rsid w:val="00863BFE"/>
    <w:rsid w:val="008645C0"/>
    <w:rsid w:val="0086693C"/>
    <w:rsid w:val="00871338"/>
    <w:rsid w:val="00871C79"/>
    <w:rsid w:val="00872CF9"/>
    <w:rsid w:val="0087392C"/>
    <w:rsid w:val="00875BC6"/>
    <w:rsid w:val="00875F2A"/>
    <w:rsid w:val="0087624D"/>
    <w:rsid w:val="00876CE1"/>
    <w:rsid w:val="00876E1B"/>
    <w:rsid w:val="00877703"/>
    <w:rsid w:val="008818CD"/>
    <w:rsid w:val="00881B5A"/>
    <w:rsid w:val="008821C5"/>
    <w:rsid w:val="00882668"/>
    <w:rsid w:val="008858CE"/>
    <w:rsid w:val="008859C4"/>
    <w:rsid w:val="00885A15"/>
    <w:rsid w:val="00886BFB"/>
    <w:rsid w:val="00891648"/>
    <w:rsid w:val="00891D81"/>
    <w:rsid w:val="0089282A"/>
    <w:rsid w:val="008931E7"/>
    <w:rsid w:val="00893B5F"/>
    <w:rsid w:val="00894933"/>
    <w:rsid w:val="008968A6"/>
    <w:rsid w:val="0089756E"/>
    <w:rsid w:val="00897D10"/>
    <w:rsid w:val="008A18BC"/>
    <w:rsid w:val="008A2295"/>
    <w:rsid w:val="008A23FD"/>
    <w:rsid w:val="008A4CBD"/>
    <w:rsid w:val="008A56A0"/>
    <w:rsid w:val="008B00BD"/>
    <w:rsid w:val="008B0465"/>
    <w:rsid w:val="008B1B97"/>
    <w:rsid w:val="008B1F21"/>
    <w:rsid w:val="008B22B1"/>
    <w:rsid w:val="008B38BA"/>
    <w:rsid w:val="008B3DDF"/>
    <w:rsid w:val="008B4940"/>
    <w:rsid w:val="008B53A2"/>
    <w:rsid w:val="008B5719"/>
    <w:rsid w:val="008C18A5"/>
    <w:rsid w:val="008C22AA"/>
    <w:rsid w:val="008C4EAF"/>
    <w:rsid w:val="008C51C1"/>
    <w:rsid w:val="008D02D1"/>
    <w:rsid w:val="008D051E"/>
    <w:rsid w:val="008D0E02"/>
    <w:rsid w:val="008D5CFE"/>
    <w:rsid w:val="008E2145"/>
    <w:rsid w:val="008E2C4C"/>
    <w:rsid w:val="008E3A9D"/>
    <w:rsid w:val="008E408D"/>
    <w:rsid w:val="008E41E1"/>
    <w:rsid w:val="008E44F6"/>
    <w:rsid w:val="008E5C72"/>
    <w:rsid w:val="008E5EC5"/>
    <w:rsid w:val="008E6175"/>
    <w:rsid w:val="008E7FC6"/>
    <w:rsid w:val="008F0004"/>
    <w:rsid w:val="008F1644"/>
    <w:rsid w:val="008F166D"/>
    <w:rsid w:val="008F1B9F"/>
    <w:rsid w:val="008F1CBD"/>
    <w:rsid w:val="008F2A92"/>
    <w:rsid w:val="008F36A0"/>
    <w:rsid w:val="008F39A1"/>
    <w:rsid w:val="008F5262"/>
    <w:rsid w:val="008F56BA"/>
    <w:rsid w:val="008F5DF9"/>
    <w:rsid w:val="008F71B7"/>
    <w:rsid w:val="009007DA"/>
    <w:rsid w:val="009013A3"/>
    <w:rsid w:val="009022E5"/>
    <w:rsid w:val="00903F9E"/>
    <w:rsid w:val="00904053"/>
    <w:rsid w:val="00905410"/>
    <w:rsid w:val="00906EA8"/>
    <w:rsid w:val="009074F2"/>
    <w:rsid w:val="00910E28"/>
    <w:rsid w:val="009130CA"/>
    <w:rsid w:val="00913CEC"/>
    <w:rsid w:val="00913EED"/>
    <w:rsid w:val="0091449A"/>
    <w:rsid w:val="00914B32"/>
    <w:rsid w:val="009152E8"/>
    <w:rsid w:val="009155B6"/>
    <w:rsid w:val="00917BF0"/>
    <w:rsid w:val="00923440"/>
    <w:rsid w:val="00925703"/>
    <w:rsid w:val="00930F06"/>
    <w:rsid w:val="00931372"/>
    <w:rsid w:val="0093312F"/>
    <w:rsid w:val="00934E76"/>
    <w:rsid w:val="00935440"/>
    <w:rsid w:val="009409E7"/>
    <w:rsid w:val="00944BA7"/>
    <w:rsid w:val="009457AA"/>
    <w:rsid w:val="00946420"/>
    <w:rsid w:val="00946D65"/>
    <w:rsid w:val="009522E8"/>
    <w:rsid w:val="009522FF"/>
    <w:rsid w:val="00955C1D"/>
    <w:rsid w:val="0095676E"/>
    <w:rsid w:val="00960A59"/>
    <w:rsid w:val="00961233"/>
    <w:rsid w:val="00962368"/>
    <w:rsid w:val="00962C26"/>
    <w:rsid w:val="009636D6"/>
    <w:rsid w:val="00963A81"/>
    <w:rsid w:val="00964394"/>
    <w:rsid w:val="0096619E"/>
    <w:rsid w:val="0096655B"/>
    <w:rsid w:val="00967059"/>
    <w:rsid w:val="00967193"/>
    <w:rsid w:val="00970758"/>
    <w:rsid w:val="00973336"/>
    <w:rsid w:val="009733BA"/>
    <w:rsid w:val="00974D81"/>
    <w:rsid w:val="00976369"/>
    <w:rsid w:val="009766EC"/>
    <w:rsid w:val="0097781F"/>
    <w:rsid w:val="009804D9"/>
    <w:rsid w:val="00980FEE"/>
    <w:rsid w:val="00981D3B"/>
    <w:rsid w:val="00982DDC"/>
    <w:rsid w:val="00983DBC"/>
    <w:rsid w:val="00987723"/>
    <w:rsid w:val="0098798C"/>
    <w:rsid w:val="00990100"/>
    <w:rsid w:val="0099041D"/>
    <w:rsid w:val="00991098"/>
    <w:rsid w:val="009942C6"/>
    <w:rsid w:val="009956B2"/>
    <w:rsid w:val="009959BC"/>
    <w:rsid w:val="009961C9"/>
    <w:rsid w:val="00996588"/>
    <w:rsid w:val="00996FEE"/>
    <w:rsid w:val="00997E16"/>
    <w:rsid w:val="009A1C58"/>
    <w:rsid w:val="009A24DF"/>
    <w:rsid w:val="009A2EAB"/>
    <w:rsid w:val="009A4115"/>
    <w:rsid w:val="009A4975"/>
    <w:rsid w:val="009A525C"/>
    <w:rsid w:val="009A5349"/>
    <w:rsid w:val="009A552B"/>
    <w:rsid w:val="009B0343"/>
    <w:rsid w:val="009B0D90"/>
    <w:rsid w:val="009B1737"/>
    <w:rsid w:val="009B29AA"/>
    <w:rsid w:val="009B3340"/>
    <w:rsid w:val="009B745D"/>
    <w:rsid w:val="009B79BD"/>
    <w:rsid w:val="009C116C"/>
    <w:rsid w:val="009C1C8A"/>
    <w:rsid w:val="009C4EDA"/>
    <w:rsid w:val="009C572F"/>
    <w:rsid w:val="009C5BD8"/>
    <w:rsid w:val="009C5EFD"/>
    <w:rsid w:val="009C6CA2"/>
    <w:rsid w:val="009C7DD7"/>
    <w:rsid w:val="009C7E03"/>
    <w:rsid w:val="009D0329"/>
    <w:rsid w:val="009D079D"/>
    <w:rsid w:val="009D084E"/>
    <w:rsid w:val="009D1573"/>
    <w:rsid w:val="009D19AE"/>
    <w:rsid w:val="009D2180"/>
    <w:rsid w:val="009D5268"/>
    <w:rsid w:val="009D7F46"/>
    <w:rsid w:val="009E1D1E"/>
    <w:rsid w:val="009E4062"/>
    <w:rsid w:val="009E68BD"/>
    <w:rsid w:val="009E71D5"/>
    <w:rsid w:val="009F5319"/>
    <w:rsid w:val="009F715A"/>
    <w:rsid w:val="00A00550"/>
    <w:rsid w:val="00A006F1"/>
    <w:rsid w:val="00A00F75"/>
    <w:rsid w:val="00A03828"/>
    <w:rsid w:val="00A05464"/>
    <w:rsid w:val="00A05C5B"/>
    <w:rsid w:val="00A06E31"/>
    <w:rsid w:val="00A07FFE"/>
    <w:rsid w:val="00A108C7"/>
    <w:rsid w:val="00A110BC"/>
    <w:rsid w:val="00A11D82"/>
    <w:rsid w:val="00A141A6"/>
    <w:rsid w:val="00A14A22"/>
    <w:rsid w:val="00A16EC6"/>
    <w:rsid w:val="00A20981"/>
    <w:rsid w:val="00A23A90"/>
    <w:rsid w:val="00A246B4"/>
    <w:rsid w:val="00A256B1"/>
    <w:rsid w:val="00A261AF"/>
    <w:rsid w:val="00A26518"/>
    <w:rsid w:val="00A26923"/>
    <w:rsid w:val="00A26C6B"/>
    <w:rsid w:val="00A275D8"/>
    <w:rsid w:val="00A27D5B"/>
    <w:rsid w:val="00A27DA5"/>
    <w:rsid w:val="00A314E6"/>
    <w:rsid w:val="00A3166C"/>
    <w:rsid w:val="00A333A8"/>
    <w:rsid w:val="00A3484D"/>
    <w:rsid w:val="00A34B58"/>
    <w:rsid w:val="00A3570F"/>
    <w:rsid w:val="00A358B2"/>
    <w:rsid w:val="00A37116"/>
    <w:rsid w:val="00A37541"/>
    <w:rsid w:val="00A37747"/>
    <w:rsid w:val="00A435A4"/>
    <w:rsid w:val="00A43A3A"/>
    <w:rsid w:val="00A44FD2"/>
    <w:rsid w:val="00A51509"/>
    <w:rsid w:val="00A527D2"/>
    <w:rsid w:val="00A53220"/>
    <w:rsid w:val="00A53F2D"/>
    <w:rsid w:val="00A5783E"/>
    <w:rsid w:val="00A57B9F"/>
    <w:rsid w:val="00A6169D"/>
    <w:rsid w:val="00A62F10"/>
    <w:rsid w:val="00A633DA"/>
    <w:rsid w:val="00A64C76"/>
    <w:rsid w:val="00A652A4"/>
    <w:rsid w:val="00A65A95"/>
    <w:rsid w:val="00A66E66"/>
    <w:rsid w:val="00A670B9"/>
    <w:rsid w:val="00A67C79"/>
    <w:rsid w:val="00A73DBB"/>
    <w:rsid w:val="00A7433E"/>
    <w:rsid w:val="00A747A6"/>
    <w:rsid w:val="00A758CA"/>
    <w:rsid w:val="00A76B1E"/>
    <w:rsid w:val="00A77822"/>
    <w:rsid w:val="00A8191C"/>
    <w:rsid w:val="00A81F14"/>
    <w:rsid w:val="00A82EE7"/>
    <w:rsid w:val="00A8355A"/>
    <w:rsid w:val="00A83C5D"/>
    <w:rsid w:val="00A84EAA"/>
    <w:rsid w:val="00A853AE"/>
    <w:rsid w:val="00A854EE"/>
    <w:rsid w:val="00A87B92"/>
    <w:rsid w:val="00A90AA4"/>
    <w:rsid w:val="00A97EF8"/>
    <w:rsid w:val="00AA13B3"/>
    <w:rsid w:val="00AA18C7"/>
    <w:rsid w:val="00AA2218"/>
    <w:rsid w:val="00AA2AA4"/>
    <w:rsid w:val="00AA2B0F"/>
    <w:rsid w:val="00AA2B52"/>
    <w:rsid w:val="00AA60CA"/>
    <w:rsid w:val="00AA6ED1"/>
    <w:rsid w:val="00AB1041"/>
    <w:rsid w:val="00AB35BA"/>
    <w:rsid w:val="00AB4D61"/>
    <w:rsid w:val="00AB6116"/>
    <w:rsid w:val="00AB6D73"/>
    <w:rsid w:val="00AC0DE7"/>
    <w:rsid w:val="00AC6AC8"/>
    <w:rsid w:val="00AD1A7F"/>
    <w:rsid w:val="00AD1D87"/>
    <w:rsid w:val="00AD1FD9"/>
    <w:rsid w:val="00AD2F1D"/>
    <w:rsid w:val="00AD4450"/>
    <w:rsid w:val="00AE4AC1"/>
    <w:rsid w:val="00AE4D5C"/>
    <w:rsid w:val="00AF0052"/>
    <w:rsid w:val="00AF04D9"/>
    <w:rsid w:val="00AF0530"/>
    <w:rsid w:val="00AF17B1"/>
    <w:rsid w:val="00AF23FA"/>
    <w:rsid w:val="00AF34A8"/>
    <w:rsid w:val="00AF490A"/>
    <w:rsid w:val="00AF6171"/>
    <w:rsid w:val="00AF6705"/>
    <w:rsid w:val="00B00B0A"/>
    <w:rsid w:val="00B024D3"/>
    <w:rsid w:val="00B0563F"/>
    <w:rsid w:val="00B06522"/>
    <w:rsid w:val="00B07996"/>
    <w:rsid w:val="00B12B38"/>
    <w:rsid w:val="00B1416C"/>
    <w:rsid w:val="00B14710"/>
    <w:rsid w:val="00B16D36"/>
    <w:rsid w:val="00B17725"/>
    <w:rsid w:val="00B17DAE"/>
    <w:rsid w:val="00B20254"/>
    <w:rsid w:val="00B21F1A"/>
    <w:rsid w:val="00B22659"/>
    <w:rsid w:val="00B23B2B"/>
    <w:rsid w:val="00B2503D"/>
    <w:rsid w:val="00B27F6D"/>
    <w:rsid w:val="00B30D6C"/>
    <w:rsid w:val="00B32683"/>
    <w:rsid w:val="00B34436"/>
    <w:rsid w:val="00B34E33"/>
    <w:rsid w:val="00B355E3"/>
    <w:rsid w:val="00B35936"/>
    <w:rsid w:val="00B36581"/>
    <w:rsid w:val="00B36B5D"/>
    <w:rsid w:val="00B37054"/>
    <w:rsid w:val="00B37478"/>
    <w:rsid w:val="00B37721"/>
    <w:rsid w:val="00B440B2"/>
    <w:rsid w:val="00B45E1E"/>
    <w:rsid w:val="00B460FB"/>
    <w:rsid w:val="00B467FF"/>
    <w:rsid w:val="00B5123D"/>
    <w:rsid w:val="00B527A7"/>
    <w:rsid w:val="00B527DC"/>
    <w:rsid w:val="00B53ABB"/>
    <w:rsid w:val="00B550EC"/>
    <w:rsid w:val="00B57A8F"/>
    <w:rsid w:val="00B603E0"/>
    <w:rsid w:val="00B619C5"/>
    <w:rsid w:val="00B63F38"/>
    <w:rsid w:val="00B654FA"/>
    <w:rsid w:val="00B66E79"/>
    <w:rsid w:val="00B70825"/>
    <w:rsid w:val="00B72BDC"/>
    <w:rsid w:val="00B72D2E"/>
    <w:rsid w:val="00B7302B"/>
    <w:rsid w:val="00B733E8"/>
    <w:rsid w:val="00B7447E"/>
    <w:rsid w:val="00B77280"/>
    <w:rsid w:val="00B775E3"/>
    <w:rsid w:val="00B80A06"/>
    <w:rsid w:val="00B80BFD"/>
    <w:rsid w:val="00B8194E"/>
    <w:rsid w:val="00B8429C"/>
    <w:rsid w:val="00B84ECD"/>
    <w:rsid w:val="00B858E1"/>
    <w:rsid w:val="00B86BC9"/>
    <w:rsid w:val="00B87B4A"/>
    <w:rsid w:val="00B9014E"/>
    <w:rsid w:val="00B9071C"/>
    <w:rsid w:val="00B91304"/>
    <w:rsid w:val="00B91420"/>
    <w:rsid w:val="00B9255E"/>
    <w:rsid w:val="00B95EED"/>
    <w:rsid w:val="00B961E2"/>
    <w:rsid w:val="00B977D4"/>
    <w:rsid w:val="00B97A33"/>
    <w:rsid w:val="00BA059F"/>
    <w:rsid w:val="00BA6666"/>
    <w:rsid w:val="00BA6C7D"/>
    <w:rsid w:val="00BA752D"/>
    <w:rsid w:val="00BA79CB"/>
    <w:rsid w:val="00BB062C"/>
    <w:rsid w:val="00BB2269"/>
    <w:rsid w:val="00BB2F56"/>
    <w:rsid w:val="00BB3B61"/>
    <w:rsid w:val="00BB413D"/>
    <w:rsid w:val="00BB4F20"/>
    <w:rsid w:val="00BB5316"/>
    <w:rsid w:val="00BB6312"/>
    <w:rsid w:val="00BB64C2"/>
    <w:rsid w:val="00BB7669"/>
    <w:rsid w:val="00BC07D6"/>
    <w:rsid w:val="00BC0CE2"/>
    <w:rsid w:val="00BC1B84"/>
    <w:rsid w:val="00BC2BCA"/>
    <w:rsid w:val="00BC3160"/>
    <w:rsid w:val="00BC397E"/>
    <w:rsid w:val="00BC462F"/>
    <w:rsid w:val="00BC5C0A"/>
    <w:rsid w:val="00BC72BF"/>
    <w:rsid w:val="00BD0013"/>
    <w:rsid w:val="00BD020F"/>
    <w:rsid w:val="00BD0C98"/>
    <w:rsid w:val="00BD101D"/>
    <w:rsid w:val="00BD1F8B"/>
    <w:rsid w:val="00BD41BF"/>
    <w:rsid w:val="00BD45F7"/>
    <w:rsid w:val="00BD544D"/>
    <w:rsid w:val="00BD67F0"/>
    <w:rsid w:val="00BD68B5"/>
    <w:rsid w:val="00BD7D28"/>
    <w:rsid w:val="00BE11B6"/>
    <w:rsid w:val="00BE1E02"/>
    <w:rsid w:val="00BE31E1"/>
    <w:rsid w:val="00BE3C04"/>
    <w:rsid w:val="00BE4B0F"/>
    <w:rsid w:val="00BE692B"/>
    <w:rsid w:val="00BF02B3"/>
    <w:rsid w:val="00BF0728"/>
    <w:rsid w:val="00BF084A"/>
    <w:rsid w:val="00BF2B5D"/>
    <w:rsid w:val="00BF2CB1"/>
    <w:rsid w:val="00BF323F"/>
    <w:rsid w:val="00BF7723"/>
    <w:rsid w:val="00BF7851"/>
    <w:rsid w:val="00C00E3C"/>
    <w:rsid w:val="00C01957"/>
    <w:rsid w:val="00C029B2"/>
    <w:rsid w:val="00C0489B"/>
    <w:rsid w:val="00C12C68"/>
    <w:rsid w:val="00C131AE"/>
    <w:rsid w:val="00C156B8"/>
    <w:rsid w:val="00C17F63"/>
    <w:rsid w:val="00C20FD3"/>
    <w:rsid w:val="00C24D6D"/>
    <w:rsid w:val="00C250CA"/>
    <w:rsid w:val="00C26C74"/>
    <w:rsid w:val="00C2797F"/>
    <w:rsid w:val="00C31C0F"/>
    <w:rsid w:val="00C324AB"/>
    <w:rsid w:val="00C324AD"/>
    <w:rsid w:val="00C358FC"/>
    <w:rsid w:val="00C35C6C"/>
    <w:rsid w:val="00C3646A"/>
    <w:rsid w:val="00C40B7B"/>
    <w:rsid w:val="00C42BF1"/>
    <w:rsid w:val="00C43BAF"/>
    <w:rsid w:val="00C44E67"/>
    <w:rsid w:val="00C4528C"/>
    <w:rsid w:val="00C45A65"/>
    <w:rsid w:val="00C46FF4"/>
    <w:rsid w:val="00C4739A"/>
    <w:rsid w:val="00C558A4"/>
    <w:rsid w:val="00C561A6"/>
    <w:rsid w:val="00C57241"/>
    <w:rsid w:val="00C57E8F"/>
    <w:rsid w:val="00C620AD"/>
    <w:rsid w:val="00C62E5C"/>
    <w:rsid w:val="00C64395"/>
    <w:rsid w:val="00C64F1E"/>
    <w:rsid w:val="00C65040"/>
    <w:rsid w:val="00C66294"/>
    <w:rsid w:val="00C66C48"/>
    <w:rsid w:val="00C66C7A"/>
    <w:rsid w:val="00C6734E"/>
    <w:rsid w:val="00C67608"/>
    <w:rsid w:val="00C701C5"/>
    <w:rsid w:val="00C709EE"/>
    <w:rsid w:val="00C72133"/>
    <w:rsid w:val="00C7330F"/>
    <w:rsid w:val="00C7406A"/>
    <w:rsid w:val="00C74D26"/>
    <w:rsid w:val="00C76771"/>
    <w:rsid w:val="00C772E7"/>
    <w:rsid w:val="00C774EE"/>
    <w:rsid w:val="00C81749"/>
    <w:rsid w:val="00C81E5F"/>
    <w:rsid w:val="00C83593"/>
    <w:rsid w:val="00C83823"/>
    <w:rsid w:val="00C83F48"/>
    <w:rsid w:val="00C84126"/>
    <w:rsid w:val="00C84E87"/>
    <w:rsid w:val="00C8571A"/>
    <w:rsid w:val="00C859AA"/>
    <w:rsid w:val="00C85EA6"/>
    <w:rsid w:val="00C87687"/>
    <w:rsid w:val="00C92970"/>
    <w:rsid w:val="00C92B9F"/>
    <w:rsid w:val="00C94F9C"/>
    <w:rsid w:val="00C96333"/>
    <w:rsid w:val="00C964CA"/>
    <w:rsid w:val="00C975E2"/>
    <w:rsid w:val="00CA06BA"/>
    <w:rsid w:val="00CA1652"/>
    <w:rsid w:val="00CA28BA"/>
    <w:rsid w:val="00CA2FAB"/>
    <w:rsid w:val="00CA558F"/>
    <w:rsid w:val="00CA5C75"/>
    <w:rsid w:val="00CA6050"/>
    <w:rsid w:val="00CA7753"/>
    <w:rsid w:val="00CB00BD"/>
    <w:rsid w:val="00CB0B65"/>
    <w:rsid w:val="00CB18F5"/>
    <w:rsid w:val="00CB3B58"/>
    <w:rsid w:val="00CB3BF9"/>
    <w:rsid w:val="00CB3C2D"/>
    <w:rsid w:val="00CB5E28"/>
    <w:rsid w:val="00CB796A"/>
    <w:rsid w:val="00CC0140"/>
    <w:rsid w:val="00CC3972"/>
    <w:rsid w:val="00CC3FA6"/>
    <w:rsid w:val="00CC4897"/>
    <w:rsid w:val="00CC5DF1"/>
    <w:rsid w:val="00CC623F"/>
    <w:rsid w:val="00CC6581"/>
    <w:rsid w:val="00CC76FA"/>
    <w:rsid w:val="00CD33C6"/>
    <w:rsid w:val="00CD4BCB"/>
    <w:rsid w:val="00CD51FB"/>
    <w:rsid w:val="00CD554A"/>
    <w:rsid w:val="00CD7A3F"/>
    <w:rsid w:val="00CD7E9B"/>
    <w:rsid w:val="00CE087E"/>
    <w:rsid w:val="00CE1CC9"/>
    <w:rsid w:val="00CE2178"/>
    <w:rsid w:val="00CE3166"/>
    <w:rsid w:val="00CE3D27"/>
    <w:rsid w:val="00CE485D"/>
    <w:rsid w:val="00CE7686"/>
    <w:rsid w:val="00CF0C6D"/>
    <w:rsid w:val="00CF10EB"/>
    <w:rsid w:val="00CF2B00"/>
    <w:rsid w:val="00CF2CB4"/>
    <w:rsid w:val="00CF4B73"/>
    <w:rsid w:val="00CF664D"/>
    <w:rsid w:val="00CF79B7"/>
    <w:rsid w:val="00CF7D40"/>
    <w:rsid w:val="00D0182B"/>
    <w:rsid w:val="00D0203D"/>
    <w:rsid w:val="00D02932"/>
    <w:rsid w:val="00D048DA"/>
    <w:rsid w:val="00D06AB7"/>
    <w:rsid w:val="00D10351"/>
    <w:rsid w:val="00D113E8"/>
    <w:rsid w:val="00D11B93"/>
    <w:rsid w:val="00D1279E"/>
    <w:rsid w:val="00D15C48"/>
    <w:rsid w:val="00D20723"/>
    <w:rsid w:val="00D256EF"/>
    <w:rsid w:val="00D25BD8"/>
    <w:rsid w:val="00D26E95"/>
    <w:rsid w:val="00D27A61"/>
    <w:rsid w:val="00D27C1F"/>
    <w:rsid w:val="00D300C5"/>
    <w:rsid w:val="00D31BF6"/>
    <w:rsid w:val="00D3313B"/>
    <w:rsid w:val="00D343C7"/>
    <w:rsid w:val="00D3445D"/>
    <w:rsid w:val="00D364EF"/>
    <w:rsid w:val="00D40625"/>
    <w:rsid w:val="00D4127F"/>
    <w:rsid w:val="00D41DEA"/>
    <w:rsid w:val="00D43A10"/>
    <w:rsid w:val="00D4499E"/>
    <w:rsid w:val="00D44D50"/>
    <w:rsid w:val="00D46194"/>
    <w:rsid w:val="00D4779E"/>
    <w:rsid w:val="00D514A8"/>
    <w:rsid w:val="00D52198"/>
    <w:rsid w:val="00D542A4"/>
    <w:rsid w:val="00D5761A"/>
    <w:rsid w:val="00D577A7"/>
    <w:rsid w:val="00D60A09"/>
    <w:rsid w:val="00D61B10"/>
    <w:rsid w:val="00D6386C"/>
    <w:rsid w:val="00D639A9"/>
    <w:rsid w:val="00D63E6B"/>
    <w:rsid w:val="00D64169"/>
    <w:rsid w:val="00D672D2"/>
    <w:rsid w:val="00D676A5"/>
    <w:rsid w:val="00D725F3"/>
    <w:rsid w:val="00D76FF0"/>
    <w:rsid w:val="00D7762D"/>
    <w:rsid w:val="00D80352"/>
    <w:rsid w:val="00D82E71"/>
    <w:rsid w:val="00D83A29"/>
    <w:rsid w:val="00D85237"/>
    <w:rsid w:val="00D858D9"/>
    <w:rsid w:val="00D85E4D"/>
    <w:rsid w:val="00D86DAD"/>
    <w:rsid w:val="00D90235"/>
    <w:rsid w:val="00D911DE"/>
    <w:rsid w:val="00D91C0B"/>
    <w:rsid w:val="00D91C83"/>
    <w:rsid w:val="00D950B9"/>
    <w:rsid w:val="00D952F5"/>
    <w:rsid w:val="00D95D5E"/>
    <w:rsid w:val="00D96963"/>
    <w:rsid w:val="00DA09B3"/>
    <w:rsid w:val="00DA0AF2"/>
    <w:rsid w:val="00DA206F"/>
    <w:rsid w:val="00DA238E"/>
    <w:rsid w:val="00DA25C3"/>
    <w:rsid w:val="00DA30AC"/>
    <w:rsid w:val="00DA381B"/>
    <w:rsid w:val="00DA5575"/>
    <w:rsid w:val="00DA628D"/>
    <w:rsid w:val="00DA6E27"/>
    <w:rsid w:val="00DA7009"/>
    <w:rsid w:val="00DB06D5"/>
    <w:rsid w:val="00DB25D3"/>
    <w:rsid w:val="00DB266C"/>
    <w:rsid w:val="00DB3028"/>
    <w:rsid w:val="00DB339B"/>
    <w:rsid w:val="00DB712A"/>
    <w:rsid w:val="00DC2F78"/>
    <w:rsid w:val="00DC427F"/>
    <w:rsid w:val="00DC665B"/>
    <w:rsid w:val="00DC6D86"/>
    <w:rsid w:val="00DC7933"/>
    <w:rsid w:val="00DD26FB"/>
    <w:rsid w:val="00DD6388"/>
    <w:rsid w:val="00DD63DF"/>
    <w:rsid w:val="00DD7FD6"/>
    <w:rsid w:val="00DE1172"/>
    <w:rsid w:val="00DE4826"/>
    <w:rsid w:val="00DE5764"/>
    <w:rsid w:val="00DE74D8"/>
    <w:rsid w:val="00DF1728"/>
    <w:rsid w:val="00DF2D7C"/>
    <w:rsid w:val="00DF3B26"/>
    <w:rsid w:val="00DF3DFB"/>
    <w:rsid w:val="00DF3E12"/>
    <w:rsid w:val="00DF438A"/>
    <w:rsid w:val="00DF7094"/>
    <w:rsid w:val="00DF729B"/>
    <w:rsid w:val="00DF7D9D"/>
    <w:rsid w:val="00E00ED7"/>
    <w:rsid w:val="00E01BEB"/>
    <w:rsid w:val="00E024AA"/>
    <w:rsid w:val="00E0271E"/>
    <w:rsid w:val="00E02846"/>
    <w:rsid w:val="00E03110"/>
    <w:rsid w:val="00E07C06"/>
    <w:rsid w:val="00E10331"/>
    <w:rsid w:val="00E115DC"/>
    <w:rsid w:val="00E163F2"/>
    <w:rsid w:val="00E17019"/>
    <w:rsid w:val="00E2010E"/>
    <w:rsid w:val="00E224EF"/>
    <w:rsid w:val="00E23EBF"/>
    <w:rsid w:val="00E24133"/>
    <w:rsid w:val="00E26FAD"/>
    <w:rsid w:val="00E2769B"/>
    <w:rsid w:val="00E301F4"/>
    <w:rsid w:val="00E307CC"/>
    <w:rsid w:val="00E32796"/>
    <w:rsid w:val="00E32FDE"/>
    <w:rsid w:val="00E33203"/>
    <w:rsid w:val="00E336C8"/>
    <w:rsid w:val="00E344F4"/>
    <w:rsid w:val="00E34ADB"/>
    <w:rsid w:val="00E37547"/>
    <w:rsid w:val="00E37690"/>
    <w:rsid w:val="00E40039"/>
    <w:rsid w:val="00E41CBE"/>
    <w:rsid w:val="00E431DB"/>
    <w:rsid w:val="00E45398"/>
    <w:rsid w:val="00E455BE"/>
    <w:rsid w:val="00E471B3"/>
    <w:rsid w:val="00E4765F"/>
    <w:rsid w:val="00E50DB8"/>
    <w:rsid w:val="00E52C06"/>
    <w:rsid w:val="00E52FBD"/>
    <w:rsid w:val="00E53ECC"/>
    <w:rsid w:val="00E5435D"/>
    <w:rsid w:val="00E61051"/>
    <w:rsid w:val="00E6125C"/>
    <w:rsid w:val="00E62316"/>
    <w:rsid w:val="00E63F47"/>
    <w:rsid w:val="00E67ACE"/>
    <w:rsid w:val="00E67D95"/>
    <w:rsid w:val="00E7067E"/>
    <w:rsid w:val="00E73BE0"/>
    <w:rsid w:val="00E77D81"/>
    <w:rsid w:val="00E8015A"/>
    <w:rsid w:val="00E801C5"/>
    <w:rsid w:val="00E806D5"/>
    <w:rsid w:val="00E8151D"/>
    <w:rsid w:val="00E81EED"/>
    <w:rsid w:val="00E82429"/>
    <w:rsid w:val="00E82FF9"/>
    <w:rsid w:val="00E842E0"/>
    <w:rsid w:val="00E87EDA"/>
    <w:rsid w:val="00E90098"/>
    <w:rsid w:val="00E90E61"/>
    <w:rsid w:val="00E917AD"/>
    <w:rsid w:val="00E963BF"/>
    <w:rsid w:val="00E96EBC"/>
    <w:rsid w:val="00E970C6"/>
    <w:rsid w:val="00E971C8"/>
    <w:rsid w:val="00EA048D"/>
    <w:rsid w:val="00EA293F"/>
    <w:rsid w:val="00EA33D9"/>
    <w:rsid w:val="00EA36D4"/>
    <w:rsid w:val="00EA423F"/>
    <w:rsid w:val="00EA5F92"/>
    <w:rsid w:val="00EA7534"/>
    <w:rsid w:val="00EA7C9F"/>
    <w:rsid w:val="00EB0344"/>
    <w:rsid w:val="00EB147A"/>
    <w:rsid w:val="00EB4AC5"/>
    <w:rsid w:val="00EB5FB2"/>
    <w:rsid w:val="00EB67D7"/>
    <w:rsid w:val="00EC0CA4"/>
    <w:rsid w:val="00EC2626"/>
    <w:rsid w:val="00EC4D2D"/>
    <w:rsid w:val="00EC5151"/>
    <w:rsid w:val="00EC66D2"/>
    <w:rsid w:val="00EC757F"/>
    <w:rsid w:val="00ED04B6"/>
    <w:rsid w:val="00ED0DA0"/>
    <w:rsid w:val="00ED191D"/>
    <w:rsid w:val="00ED1A46"/>
    <w:rsid w:val="00ED2243"/>
    <w:rsid w:val="00ED2C81"/>
    <w:rsid w:val="00ED2D0C"/>
    <w:rsid w:val="00ED3D35"/>
    <w:rsid w:val="00ED4F79"/>
    <w:rsid w:val="00ED56EF"/>
    <w:rsid w:val="00ED5794"/>
    <w:rsid w:val="00ED5F72"/>
    <w:rsid w:val="00ED6399"/>
    <w:rsid w:val="00ED7147"/>
    <w:rsid w:val="00ED73E4"/>
    <w:rsid w:val="00EE1702"/>
    <w:rsid w:val="00EE327B"/>
    <w:rsid w:val="00EE79E0"/>
    <w:rsid w:val="00EF0B91"/>
    <w:rsid w:val="00EF3B81"/>
    <w:rsid w:val="00EF4BF4"/>
    <w:rsid w:val="00EF6D02"/>
    <w:rsid w:val="00F00364"/>
    <w:rsid w:val="00F023EF"/>
    <w:rsid w:val="00F034E2"/>
    <w:rsid w:val="00F06998"/>
    <w:rsid w:val="00F070AC"/>
    <w:rsid w:val="00F07B4D"/>
    <w:rsid w:val="00F07DFB"/>
    <w:rsid w:val="00F117F5"/>
    <w:rsid w:val="00F13194"/>
    <w:rsid w:val="00F13C28"/>
    <w:rsid w:val="00F158E0"/>
    <w:rsid w:val="00F169E5"/>
    <w:rsid w:val="00F17BF1"/>
    <w:rsid w:val="00F17CF0"/>
    <w:rsid w:val="00F204AB"/>
    <w:rsid w:val="00F2074C"/>
    <w:rsid w:val="00F20B7A"/>
    <w:rsid w:val="00F23051"/>
    <w:rsid w:val="00F2432D"/>
    <w:rsid w:val="00F24BB2"/>
    <w:rsid w:val="00F258AB"/>
    <w:rsid w:val="00F261C9"/>
    <w:rsid w:val="00F26ED7"/>
    <w:rsid w:val="00F274B8"/>
    <w:rsid w:val="00F316B6"/>
    <w:rsid w:val="00F32969"/>
    <w:rsid w:val="00F32A6F"/>
    <w:rsid w:val="00F3503F"/>
    <w:rsid w:val="00F366E6"/>
    <w:rsid w:val="00F378ED"/>
    <w:rsid w:val="00F43523"/>
    <w:rsid w:val="00F43B9F"/>
    <w:rsid w:val="00F45066"/>
    <w:rsid w:val="00F52A6C"/>
    <w:rsid w:val="00F53B6C"/>
    <w:rsid w:val="00F54D95"/>
    <w:rsid w:val="00F562F1"/>
    <w:rsid w:val="00F616C9"/>
    <w:rsid w:val="00F6292A"/>
    <w:rsid w:val="00F6322B"/>
    <w:rsid w:val="00F652FE"/>
    <w:rsid w:val="00F70EE9"/>
    <w:rsid w:val="00F71849"/>
    <w:rsid w:val="00F71DE0"/>
    <w:rsid w:val="00F721AA"/>
    <w:rsid w:val="00F72DA6"/>
    <w:rsid w:val="00F72ECD"/>
    <w:rsid w:val="00F73F29"/>
    <w:rsid w:val="00F779AF"/>
    <w:rsid w:val="00F80367"/>
    <w:rsid w:val="00F81FC3"/>
    <w:rsid w:val="00F82654"/>
    <w:rsid w:val="00F85247"/>
    <w:rsid w:val="00F85743"/>
    <w:rsid w:val="00F85EE7"/>
    <w:rsid w:val="00F874E3"/>
    <w:rsid w:val="00F87E0F"/>
    <w:rsid w:val="00F90C7D"/>
    <w:rsid w:val="00F93722"/>
    <w:rsid w:val="00F95C73"/>
    <w:rsid w:val="00F9608A"/>
    <w:rsid w:val="00F96FB8"/>
    <w:rsid w:val="00FA0ECA"/>
    <w:rsid w:val="00FA13C6"/>
    <w:rsid w:val="00FA30F9"/>
    <w:rsid w:val="00FA5A47"/>
    <w:rsid w:val="00FA5C25"/>
    <w:rsid w:val="00FA74A8"/>
    <w:rsid w:val="00FB050D"/>
    <w:rsid w:val="00FB149E"/>
    <w:rsid w:val="00FB29CE"/>
    <w:rsid w:val="00FB2AD5"/>
    <w:rsid w:val="00FB3494"/>
    <w:rsid w:val="00FB451F"/>
    <w:rsid w:val="00FB5D0F"/>
    <w:rsid w:val="00FC0746"/>
    <w:rsid w:val="00FC15B4"/>
    <w:rsid w:val="00FC161D"/>
    <w:rsid w:val="00FC195D"/>
    <w:rsid w:val="00FC1A5B"/>
    <w:rsid w:val="00FC2F91"/>
    <w:rsid w:val="00FC5525"/>
    <w:rsid w:val="00FC5C67"/>
    <w:rsid w:val="00FC7B90"/>
    <w:rsid w:val="00FD3066"/>
    <w:rsid w:val="00FD34DF"/>
    <w:rsid w:val="00FD417A"/>
    <w:rsid w:val="00FD4EDE"/>
    <w:rsid w:val="00FE0007"/>
    <w:rsid w:val="00FE0A9B"/>
    <w:rsid w:val="00FE0D92"/>
    <w:rsid w:val="00FE10D6"/>
    <w:rsid w:val="00FE1804"/>
    <w:rsid w:val="00FE1DFA"/>
    <w:rsid w:val="00FE29A9"/>
    <w:rsid w:val="00FE57A3"/>
    <w:rsid w:val="00FF26B6"/>
    <w:rsid w:val="00FF4157"/>
    <w:rsid w:val="00FF578C"/>
    <w:rsid w:val="00FF6459"/>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C1993-F79B-4C3F-892E-1A088F29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53"/>
    <w:rPr>
      <w:rFonts w:ascii="Calibri" w:hAnsi="Calibri"/>
      <w:sz w:val="22"/>
      <w:szCs w:val="20"/>
    </w:rPr>
  </w:style>
  <w:style w:type="paragraph" w:styleId="Heading1">
    <w:name w:val="heading 1"/>
    <w:next w:val="Normal"/>
    <w:link w:val="Heading1Char"/>
    <w:uiPriority w:val="9"/>
    <w:qFormat/>
    <w:rsid w:val="002F51BD"/>
    <w:pPr>
      <w:keepNext/>
      <w:keepLines/>
      <w:pBdr>
        <w:top w:val="single" w:sz="18" w:space="1" w:color="003865"/>
        <w:bottom w:val="single" w:sz="18" w:space="1" w:color="003865"/>
      </w:pBdr>
      <w:shd w:val="clear" w:color="auto" w:fill="003865"/>
      <w:tabs>
        <w:tab w:val="right" w:pos="10080"/>
      </w:tabs>
      <w:spacing w:before="40" w:after="40"/>
      <w:outlineLvl w:val="0"/>
    </w:pPr>
    <w:rPr>
      <w:rFonts w:ascii="Calibri" w:eastAsiaTheme="majorEastAsia" w:hAnsi="Calibri" w:cstheme="majorBidi"/>
      <w:b/>
      <w:bCs/>
      <w:color w:val="FFFFFF" w:themeColor="background1"/>
      <w:sz w:val="28"/>
      <w:szCs w:val="28"/>
    </w:rPr>
  </w:style>
  <w:style w:type="paragraph" w:styleId="Heading2">
    <w:name w:val="heading 2"/>
    <w:next w:val="Normal"/>
    <w:link w:val="Heading2Char"/>
    <w:uiPriority w:val="9"/>
    <w:unhideWhenUsed/>
    <w:qFormat/>
    <w:rsid w:val="002F51BD"/>
    <w:pPr>
      <w:keepNext/>
      <w:keepLines/>
      <w:spacing w:after="120"/>
      <w:jc w:val="center"/>
      <w:outlineLvl w:val="1"/>
    </w:pPr>
    <w:rPr>
      <w:rFonts w:ascii="Calibri" w:eastAsiaTheme="majorEastAsia" w:hAnsi="Calibri"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450E3"/>
    <w:rPr>
      <w:rFonts w:ascii="Arial Narrow" w:hAnsi="Arial Narrow"/>
      <w:color w:val="0000FF"/>
      <w:sz w:val="22"/>
      <w:u w:val="single"/>
    </w:rPr>
  </w:style>
  <w:style w:type="paragraph" w:styleId="Title">
    <w:name w:val="Title"/>
    <w:basedOn w:val="Normal"/>
    <w:link w:val="TitleChar"/>
    <w:uiPriority w:val="10"/>
    <w:qFormat/>
    <w:rsid w:val="008F0004"/>
    <w:pPr>
      <w:jc w:val="center"/>
    </w:pPr>
    <w:rPr>
      <w:b/>
      <w:bCs/>
      <w:sz w:val="28"/>
      <w:szCs w:val="28"/>
    </w:rPr>
  </w:style>
  <w:style w:type="character" w:customStyle="1" w:styleId="TitleChar">
    <w:name w:val="Title Char"/>
    <w:basedOn w:val="DefaultParagraphFont"/>
    <w:link w:val="Title"/>
    <w:uiPriority w:val="10"/>
    <w:rsid w:val="008F000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table" w:styleId="TableGrid">
    <w:name w:val="Table Grid"/>
    <w:basedOn w:val="TableNormal"/>
    <w:uiPriority w:val="59"/>
    <w:rsid w:val="00897D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51BD"/>
    <w:rPr>
      <w:rFonts w:ascii="Calibri" w:eastAsiaTheme="majorEastAsia" w:hAnsi="Calibri" w:cstheme="majorBidi"/>
      <w:b/>
      <w:bCs/>
      <w:color w:val="FFFFFF" w:themeColor="background1"/>
      <w:sz w:val="28"/>
      <w:szCs w:val="28"/>
      <w:shd w:val="clear" w:color="auto" w:fill="003865"/>
    </w:rPr>
  </w:style>
  <w:style w:type="character" w:customStyle="1" w:styleId="Heading2Char">
    <w:name w:val="Heading 2 Char"/>
    <w:basedOn w:val="DefaultParagraphFont"/>
    <w:link w:val="Heading2"/>
    <w:uiPriority w:val="9"/>
    <w:rsid w:val="002F51BD"/>
    <w:rPr>
      <w:rFonts w:ascii="Calibri" w:eastAsiaTheme="majorEastAsia" w:hAnsi="Calibri" w:cstheme="majorBidi"/>
      <w:b/>
      <w:bCs/>
      <w:caps/>
      <w:szCs w:val="26"/>
    </w:rPr>
  </w:style>
  <w:style w:type="paragraph" w:styleId="ListParagraph">
    <w:name w:val="List Paragraph"/>
    <w:basedOn w:val="Normal"/>
    <w:uiPriority w:val="34"/>
    <w:qFormat/>
    <w:rsid w:val="00A854EE"/>
    <w:pPr>
      <w:numPr>
        <w:numId w:val="2"/>
      </w:numPr>
      <w:ind w:left="720"/>
      <w:contextualSpacing/>
    </w:pPr>
  </w:style>
  <w:style w:type="character" w:styleId="Strong">
    <w:name w:val="Strong"/>
    <w:basedOn w:val="DefaultParagraphFont"/>
    <w:uiPriority w:val="22"/>
    <w:qFormat/>
    <w:rsid w:val="00641B08"/>
    <w:rPr>
      <w:b/>
      <w:bCs/>
    </w:rPr>
  </w:style>
  <w:style w:type="paragraph" w:styleId="Caption">
    <w:name w:val="caption"/>
    <w:basedOn w:val="Normal"/>
    <w:next w:val="Normal"/>
    <w:uiPriority w:val="35"/>
    <w:unhideWhenUsed/>
    <w:qFormat/>
    <w:rsid w:val="00745F77"/>
    <w:pPr>
      <w:jc w:val="center"/>
    </w:pPr>
    <w:rPr>
      <w:b/>
      <w:bCs/>
      <w:i/>
      <w:sz w:val="18"/>
      <w:szCs w:val="18"/>
    </w:rPr>
  </w:style>
  <w:style w:type="paragraph" w:styleId="EndnoteText">
    <w:name w:val="endnote text"/>
    <w:basedOn w:val="Normal"/>
    <w:link w:val="EndnoteTextChar"/>
    <w:uiPriority w:val="99"/>
    <w:semiHidden/>
    <w:unhideWhenUsed/>
    <w:rsid w:val="0031561B"/>
    <w:pPr>
      <w:spacing w:after="0"/>
    </w:pPr>
    <w:rPr>
      <w:sz w:val="20"/>
    </w:rPr>
  </w:style>
  <w:style w:type="character" w:customStyle="1" w:styleId="EndnoteTextChar">
    <w:name w:val="Endnote Text Char"/>
    <w:basedOn w:val="DefaultParagraphFont"/>
    <w:link w:val="EndnoteText"/>
    <w:uiPriority w:val="99"/>
    <w:semiHidden/>
    <w:rsid w:val="0031561B"/>
    <w:rPr>
      <w:rFonts w:ascii="Arial Narrow" w:hAnsi="Arial Narrow"/>
      <w:sz w:val="20"/>
      <w:szCs w:val="20"/>
    </w:rPr>
  </w:style>
  <w:style w:type="character" w:styleId="EndnoteReference">
    <w:name w:val="endnote reference"/>
    <w:basedOn w:val="DefaultParagraphFont"/>
    <w:uiPriority w:val="99"/>
    <w:semiHidden/>
    <w:unhideWhenUsed/>
    <w:rsid w:val="0031561B"/>
    <w:rPr>
      <w:vertAlign w:val="superscript"/>
    </w:rPr>
  </w:style>
  <w:style w:type="character" w:styleId="IntenseEmphasis">
    <w:name w:val="Intense Emphasis"/>
    <w:basedOn w:val="DefaultParagraphFont"/>
    <w:uiPriority w:val="21"/>
    <w:qFormat/>
    <w:rsid w:val="0052224B"/>
    <w:rPr>
      <w:rFonts w:ascii="Arial Narrow" w:hAnsi="Arial Narrow"/>
      <w:b/>
      <w:bCs/>
      <w:i/>
      <w:iCs/>
      <w:color w:val="auto"/>
      <w:sz w:val="22"/>
    </w:rPr>
  </w:style>
  <w:style w:type="paragraph" w:styleId="BalloonText">
    <w:name w:val="Balloon Text"/>
    <w:basedOn w:val="Normal"/>
    <w:link w:val="BalloonTextChar"/>
    <w:uiPriority w:val="99"/>
    <w:semiHidden/>
    <w:unhideWhenUsed/>
    <w:rsid w:val="00903F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4094">
      <w:bodyDiv w:val="1"/>
      <w:marLeft w:val="0"/>
      <w:marRight w:val="0"/>
      <w:marTop w:val="0"/>
      <w:marBottom w:val="0"/>
      <w:divBdr>
        <w:top w:val="none" w:sz="0" w:space="0" w:color="auto"/>
        <w:left w:val="none" w:sz="0" w:space="0" w:color="auto"/>
        <w:bottom w:val="none" w:sz="0" w:space="0" w:color="auto"/>
        <w:right w:val="none" w:sz="0" w:space="0" w:color="auto"/>
      </w:divBdr>
    </w:div>
    <w:div w:id="6642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Cstiles\Downloads\www.mn.gov\tax-cou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visor.mn.gov/statutes/?id=27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op02\Desktop\Templates\01-my-use-small-profile-catego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Spending by Category</a:t>
            </a:r>
          </a:p>
          <a:p>
            <a:pPr>
              <a:defRPr sz="1200" b="1">
                <a:solidFill>
                  <a:schemeClr val="tx1"/>
                </a:solidFill>
                <a:latin typeface="Calibri" panose="020F0502020204030204" pitchFamily="34" charset="0"/>
                <a:cs typeface="Arial" panose="020B0604020202020204" pitchFamily="34" charset="0"/>
              </a:defRPr>
            </a:pPr>
            <a:r>
              <a:rPr lang="en-US" sz="1200" b="1">
                <a:solidFill>
                  <a:schemeClr val="tx1"/>
                </a:solidFill>
                <a:latin typeface="Calibri" panose="020F0502020204030204" pitchFamily="34" charset="0"/>
                <a:cs typeface="Arial" panose="020B0604020202020204" pitchFamily="34" charset="0"/>
              </a:rPr>
              <a:t>FY 17 Actual</a:t>
            </a:r>
          </a:p>
        </c:rich>
      </c:tx>
      <c:layout>
        <c:manualLayout>
          <c:xMode val="edge"/>
          <c:yMode val="edge"/>
          <c:x val="0.2919831712212444"/>
          <c:y val="2.428953121204760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Calibri" panose="020F050202020403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247336729967578"/>
          <c:y val="0.32639048003381405"/>
          <c:w val="0.51505326540064844"/>
          <c:h val="0.61250929983035585"/>
        </c:manualLayout>
      </c:layout>
      <c:pieChart>
        <c:varyColors val="1"/>
        <c:ser>
          <c:idx val="0"/>
          <c:order val="0"/>
          <c:tx>
            <c:strRef>
              <c:f>Sheet1!$B$1</c:f>
              <c:strCache>
                <c:ptCount val="1"/>
                <c:pt idx="0">
                  <c:v>Spending by Category FY 17 Actual</c:v>
                </c:pt>
              </c:strCache>
            </c:strRef>
          </c:tx>
          <c:spPr>
            <a:ln w="6350">
              <a:solidFill>
                <a:schemeClr val="bg1"/>
              </a:solidFill>
            </a:ln>
          </c:spPr>
          <c:dPt>
            <c:idx val="0"/>
            <c:bubble3D val="0"/>
            <c:spPr>
              <a:solidFill>
                <a:schemeClr val="accent1">
                  <a:tint val="54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1-DA75-4E61-9E83-43A94EE3F828}"/>
              </c:ext>
            </c:extLst>
          </c:dPt>
          <c:dPt>
            <c:idx val="1"/>
            <c:bubble3D val="0"/>
            <c:spPr>
              <a:solidFill>
                <a:schemeClr val="accent1">
                  <a:tint val="77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3-DA75-4E61-9E83-43A94EE3F828}"/>
              </c:ext>
            </c:extLst>
          </c:dPt>
          <c:dPt>
            <c:idx val="2"/>
            <c:bubble3D val="0"/>
            <c:spPr>
              <a:solidFill>
                <a:schemeClr val="accent1">
                  <a:shade val="76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5-DA75-4E61-9E83-43A94EE3F828}"/>
              </c:ext>
            </c:extLst>
          </c:dPt>
          <c:dPt>
            <c:idx val="3"/>
            <c:bubble3D val="0"/>
            <c:spPr>
              <a:solidFill>
                <a:schemeClr val="accent1">
                  <a:shade val="76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7-DA75-4E61-9E83-43A94EE3F828}"/>
              </c:ext>
            </c:extLst>
          </c:dPt>
          <c:dPt>
            <c:idx val="4"/>
            <c:bubble3D val="0"/>
            <c:spPr>
              <a:solidFill>
                <a:schemeClr val="accent1">
                  <a:shade val="53000"/>
                </a:schemeClr>
              </a:solidFill>
              <a:ln w="6350">
                <a:solidFill>
                  <a:schemeClr val="bg1"/>
                </a:solidFill>
              </a:ln>
              <a:effectLst/>
            </c:spPr>
            <c:extLst xmlns:c16r2="http://schemas.microsoft.com/office/drawing/2015/06/chart">
              <c:ext xmlns:c16="http://schemas.microsoft.com/office/drawing/2014/chart" uri="{C3380CC4-5D6E-409C-BE32-E72D297353CC}">
                <c16:uniqueId val="{00000009-DA75-4E61-9E83-43A94EE3F828}"/>
              </c:ext>
            </c:extLst>
          </c:dPt>
          <c:dLbls>
            <c:dLbl>
              <c:idx val="0"/>
              <c:layout>
                <c:manualLayout>
                  <c:x val="7.148338994390406E-2"/>
                  <c:y val="0"/>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DA75-4E61-9E83-43A94EE3F828}"/>
                </c:ext>
                <c:ext xmlns:c15="http://schemas.microsoft.com/office/drawing/2012/chart" uri="{CE6537A1-D6FC-4f65-9D91-7224C49458BB}">
                  <c15:layout>
                    <c:manualLayout>
                      <c:w val="0.27205206885903965"/>
                      <c:h val="0.26584911037201236"/>
                    </c:manualLayout>
                  </c15:layout>
                </c:ext>
              </c:extLst>
            </c:dLbl>
            <c:dLbl>
              <c:idx val="1"/>
              <c:layout>
                <c:manualLayout>
                  <c:x val="-6.535947712418301E-2"/>
                  <c:y val="-2.2265146402172444E-17"/>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DA75-4E61-9E83-43A94EE3F828}"/>
                </c:ext>
                <c:ext xmlns:c15="http://schemas.microsoft.com/office/drawing/2012/chart" uri="{CE6537A1-D6FC-4f65-9D91-7224C49458BB}">
                  <c15:layout/>
                </c:ext>
              </c:extLst>
            </c:dLbl>
            <c:dLbl>
              <c:idx val="2"/>
              <c:layout>
                <c:manualLayout>
                  <c:x val="0.40032679738562094"/>
                  <c:y val="7.069171612231978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DA75-4E61-9E83-43A94EE3F828}"/>
                </c:ext>
                <c:ext xmlns:c15="http://schemas.microsoft.com/office/drawing/2012/chart" uri="{CE6537A1-D6FC-4f65-9D91-7224C49458BB}">
                  <c15:layout>
                    <c:manualLayout>
                      <c:w val="0.23080065359477125"/>
                      <c:h val="0.24896769492348797"/>
                    </c:manualLayout>
                  </c15:layout>
                </c:ext>
              </c:extLst>
            </c:dLbl>
            <c:dLbl>
              <c:idx val="3"/>
              <c:layout>
                <c:manualLayout>
                  <c:x val="-1.4978040480023522E-16"/>
                  <c:y val="9.7158124848190433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DA75-4E61-9E83-43A94EE3F828}"/>
                </c:ext>
                <c:ext xmlns:c15="http://schemas.microsoft.com/office/drawing/2012/chart" uri="{CE6537A1-D6FC-4f65-9D91-7224C49458BB}"/>
              </c:extLst>
            </c:dLbl>
            <c:dLbl>
              <c:idx val="4"/>
              <c:layout>
                <c:manualLayout>
                  <c:x val="-4.084967320261438E-2"/>
                  <c:y val="1.4573718727228565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9-DA75-4E61-9E83-43A94EE3F8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Compensation</c:v>
                </c:pt>
                <c:pt idx="1">
                  <c:v>Operating Expenses</c:v>
                </c:pt>
                <c:pt idx="2">
                  <c:v>Other Financial Transactions</c:v>
                </c:pt>
              </c:strCache>
            </c:strRef>
          </c:cat>
          <c:val>
            <c:numRef>
              <c:f>Sheet1!$B$2:$B$4</c:f>
              <c:numCache>
                <c:formatCode>0%</c:formatCode>
                <c:ptCount val="3"/>
                <c:pt idx="0">
                  <c:v>0.78</c:v>
                </c:pt>
                <c:pt idx="1">
                  <c:v>0.21</c:v>
                </c:pt>
                <c:pt idx="2">
                  <c:v>0.01</c:v>
                </c:pt>
              </c:numCache>
            </c:numRef>
          </c:val>
          <c:extLst xmlns:c16r2="http://schemas.microsoft.com/office/drawing/2015/06/chart">
            <c:ext xmlns:c16="http://schemas.microsoft.com/office/drawing/2014/chart" uri="{C3380CC4-5D6E-409C-BE32-E72D297353CC}">
              <c16:uniqueId val="{0000000A-DA75-4E61-9E83-43A94EE3F82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r>
              <a:rPr lang="en-US" sz="1200" b="1">
                <a:solidFill>
                  <a:schemeClr val="tx1"/>
                </a:solidFill>
                <a:latin typeface="Arial Narrow" panose="020B0606020202030204" pitchFamily="34" charset="0"/>
                <a:cs typeface="Arial" panose="020B0604020202020204" pitchFamily="34" charset="0"/>
              </a:rPr>
              <a:t>Historical Spending</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Arial Narrow" panose="020B060602020203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tx1"/>
              </a:solidFill>
            </a:ln>
            <a:effectLst/>
          </c:spPr>
          <c:invertIfNegative val="0"/>
          <c:cat>
            <c:strRef>
              <c:f>Sheet1!$B$1:$G$1</c:f>
              <c:strCache>
                <c:ptCount val="6"/>
                <c:pt idx="0">
                  <c:v>FY06-07</c:v>
                </c:pt>
                <c:pt idx="1">
                  <c:v>FY08-09</c:v>
                </c:pt>
                <c:pt idx="2">
                  <c:v>FY10-11</c:v>
                </c:pt>
                <c:pt idx="3">
                  <c:v>FY12-13</c:v>
                </c:pt>
                <c:pt idx="4">
                  <c:v>FY14-15</c:v>
                </c:pt>
                <c:pt idx="5">
                  <c:v>FY16-17</c:v>
                </c:pt>
              </c:strCache>
            </c:strRef>
          </c:cat>
          <c:val>
            <c:numRef>
              <c:f>Sheet1!$B$2:$G$2</c:f>
              <c:numCache>
                <c:formatCode>"$"#,##0</c:formatCode>
                <c:ptCount val="6"/>
                <c:pt idx="0">
                  <c:v>1.49</c:v>
                </c:pt>
                <c:pt idx="1">
                  <c:v>1.58</c:v>
                </c:pt>
                <c:pt idx="2">
                  <c:v>1.63</c:v>
                </c:pt>
                <c:pt idx="3">
                  <c:v>1.544</c:v>
                </c:pt>
                <c:pt idx="4">
                  <c:v>1.998</c:v>
                </c:pt>
                <c:pt idx="5">
                  <c:v>2.306</c:v>
                </c:pt>
              </c:numCache>
            </c:numRef>
          </c:val>
          <c:extLst xmlns:c16r2="http://schemas.microsoft.com/office/drawing/2015/06/chart">
            <c:ext xmlns:c16="http://schemas.microsoft.com/office/drawing/2014/chart" uri="{C3380CC4-5D6E-409C-BE32-E72D297353CC}">
              <c16:uniqueId val="{00000000-33D6-4014-B65B-074855D64594}"/>
            </c:ext>
          </c:extLst>
        </c:ser>
        <c:dLbls>
          <c:showLegendKey val="0"/>
          <c:showVal val="0"/>
          <c:showCatName val="0"/>
          <c:showSerName val="0"/>
          <c:showPercent val="0"/>
          <c:showBubbleSize val="0"/>
        </c:dLbls>
        <c:gapWidth val="150"/>
        <c:overlap val="100"/>
        <c:axId val="9828064"/>
        <c:axId val="9827280"/>
      </c:barChart>
      <c:catAx>
        <c:axId val="98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9827280"/>
        <c:crossesAt val="0"/>
        <c:auto val="1"/>
        <c:lblAlgn val="ctr"/>
        <c:lblOffset val="100"/>
        <c:noMultiLvlLbl val="0"/>
      </c:catAx>
      <c:valAx>
        <c:axId val="982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r>
                  <a:rPr lang="en-US" b="1">
                    <a:solidFill>
                      <a:schemeClr val="tx1"/>
                    </a:solidFill>
                    <a:latin typeface="+mn-lt"/>
                    <a:cs typeface="Arial" panose="020B0604020202020204" pitchFamily="34" charset="0"/>
                  </a:rPr>
                  <a:t>Millions</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Arial" panose="020B0604020202020204" pitchFamily="34" charset="0"/>
                </a:defRPr>
              </a:pPr>
              <a:endParaRPr lang="en-US"/>
            </a:p>
          </c:txPr>
        </c:title>
        <c:numFmt formatCode="&quot;$&quot;#,##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crossAx val="9828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d847275-e543-44c8-805a-b09db5df639c">MQCT4KU2UW3H-1113779468-143</_dlc_DocId>
    <_dlc_DocIdUrl xmlns="2d847275-e543-44c8-805a-b09db5df639c">
      <Url>https://mn365.sharepoint.com/sites/MMB-Budget/_layouts/15/DocIdRedir.aspx?ID=MQCT4KU2UW3H-1113779468-143</Url>
      <Description>MQCT4KU2UW3H-1113779468-143</Description>
    </_dlc_DocIdUrl>
    <MMB_x0020_Status xmlns="2d847275-e543-44c8-805a-b09db5df639c"/>
    <Document_x0020_Status xmlns="2d847275-e543-44c8-805a-b09db5df6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04301E3540145B8CED00730C06BF1" ma:contentTypeVersion="18" ma:contentTypeDescription="Create a new document." ma:contentTypeScope="" ma:versionID="d554a94685b0b0274d1e9be5c3d94a43">
  <xsd:schema xmlns:xsd="http://www.w3.org/2001/XMLSchema" xmlns:xs="http://www.w3.org/2001/XMLSchema" xmlns:p="http://schemas.microsoft.com/office/2006/metadata/properties" xmlns:ns2="2d847275-e543-44c8-805a-b09db5df639c" targetNamespace="http://schemas.microsoft.com/office/2006/metadata/properties" ma:root="true" ma:fieldsID="bdfae100bda9885d22159f44ae0b05f0" ns2:_="">
    <xsd:import namespace="2d847275-e543-44c8-805a-b09db5df639c"/>
    <xsd:element name="properties">
      <xsd:complexType>
        <xsd:sequence>
          <xsd:element name="documentManagement">
            <xsd:complexType>
              <xsd:all>
                <xsd:element ref="ns2:_dlc_DocId" minOccurs="0"/>
                <xsd:element ref="ns2:_dlc_DocIdUrl" minOccurs="0"/>
                <xsd:element ref="ns2:_dlc_DocIdPersistId" minOccurs="0"/>
                <xsd:element ref="ns2:Document_x0020_Status" minOccurs="0"/>
                <xsd:element ref="ns2:MMB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nillable="true" ma:displayName="Document Status" ma:format="Dropdown" ma:internalName="Document_x0020_Status">
      <xsd:simpleType>
        <xsd:restriction base="dms:Choice">
          <xsd:enumeration value="MMB Review 1"/>
          <xsd:enumeration value="Pulled"/>
        </xsd:restriction>
      </xsd:simpleType>
    </xsd:element>
    <xsd:element name="MMB_x0020_Status" ma:index="12" nillable="true" ma:displayName="MMB Status" ma:internalName="MMB_x0020_Status">
      <xsd:complexType>
        <xsd:complexContent>
          <xsd:extension base="dms:MultiChoiceFillIn">
            <xsd:sequence>
              <xsd:element name="Value" maxOccurs="unbounded" minOccurs="0" nillable="true">
                <xsd:simpleType>
                  <xsd:union memberTypes="dms:Text">
                    <xsd:simpleType>
                      <xsd:restriction base="dms:Choice">
                        <xsd:enumeration value="MMB EBO Review Complete: Budget Impact"/>
                        <xsd:enumeration value="MMB EBO Review Complete: No Budget Impact"/>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364A-97E9-4F33-A50D-4BC28816DA3D}">
  <ds:schemaRefs>
    <ds:schemaRef ds:uri="http://schemas.microsoft.com/sharepoint/v3/contenttype/forms"/>
  </ds:schemaRefs>
</ds:datastoreItem>
</file>

<file path=customXml/itemProps2.xml><?xml version="1.0" encoding="utf-8"?>
<ds:datastoreItem xmlns:ds="http://schemas.openxmlformats.org/officeDocument/2006/customXml" ds:itemID="{5C08A7F4-26AF-495D-9414-243819D8F4D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d847275-e543-44c8-805a-b09db5df639c"/>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91D3D7C-6C75-4F08-9C93-632DD582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7275-e543-44c8-805a-b09db5df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73B80-3BE0-4331-A7F0-7C779A5DDAFF}">
  <ds:schemaRefs>
    <ds:schemaRef ds:uri="http://schemas.microsoft.com/sharepoint/events"/>
    <ds:schemaRef ds:uri=""/>
  </ds:schemaRefs>
</ds:datastoreItem>
</file>

<file path=customXml/itemProps5.xml><?xml version="1.0" encoding="utf-8"?>
<ds:datastoreItem xmlns:ds="http://schemas.openxmlformats.org/officeDocument/2006/customXml" ds:itemID="{98816C0D-307D-48CB-9912-75333A87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01-my-use-small-profile-category</Template>
  <TotalTime>0</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Small Agency Profile - Spending by Category Chart</vt:lpstr>
    </vt:vector>
  </TitlesOfParts>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Agency Profile - Spending by Category Chart</dc:title>
  <dc:subject>Budget Narrative</dc:subject>
  <dc:creator>Aliana Lopez</dc:creator>
  <cp:lastModifiedBy>DFLUser</cp:lastModifiedBy>
  <cp:revision>2</cp:revision>
  <cp:lastPrinted>2018-08-23T20:59:00Z</cp:lastPrinted>
  <dcterms:created xsi:type="dcterms:W3CDTF">2019-01-18T18:10:00Z</dcterms:created>
  <dcterms:modified xsi:type="dcterms:W3CDTF">2019-01-18T18:10:00Z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0x0101009DE04301E3540145B8CED00730C06BF1</vt:lpwstr>
  </property>
  <property fmtid="{D5CDD505-2E9C-101B-9397-08002B2CF9AE}" pid="3" name="_dlc_DocIdItemGuid">
    <vt:lpwstr>6ab19bb3-aebd-420b-ae8d-9f8995441598</vt:lpwstr>
  </property>
</Properties>
</file>