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75" w:rsidRPr="00443BB6" w:rsidRDefault="00033829" w:rsidP="00D15C75">
      <w:pPr>
        <w:jc w:val="center"/>
        <w:rPr>
          <w:rFonts w:ascii="Calibri" w:hAnsi="Calibri"/>
          <w:b/>
          <w:bCs/>
          <w:sz w:val="48"/>
          <w:szCs w:val="48"/>
        </w:rPr>
      </w:pPr>
      <w:r w:rsidRPr="00443BB6">
        <w:rPr>
          <w:rFonts w:ascii="Calibri" w:hAnsi="Calibri"/>
          <w:b/>
          <w:bCs/>
          <w:sz w:val="48"/>
          <w:szCs w:val="48"/>
        </w:rPr>
        <w:t xml:space="preserve">Minnesota DNR </w:t>
      </w:r>
      <w:r w:rsidR="00D15C75" w:rsidRPr="00443BB6">
        <w:rPr>
          <w:rFonts w:ascii="Calibri" w:hAnsi="Calibri"/>
          <w:b/>
          <w:bCs/>
          <w:sz w:val="48"/>
          <w:szCs w:val="48"/>
        </w:rPr>
        <w:t xml:space="preserve">Angler and Hunter </w:t>
      </w:r>
    </w:p>
    <w:p w:rsidR="00D15C75" w:rsidRPr="00443BB6" w:rsidRDefault="00443BB6" w:rsidP="00D15C75">
      <w:pPr>
        <w:jc w:val="center"/>
        <w:rPr>
          <w:rFonts w:ascii="Calibri" w:hAnsi="Calibri"/>
          <w:b/>
          <w:bCs/>
          <w:sz w:val="48"/>
          <w:szCs w:val="48"/>
        </w:rPr>
      </w:pPr>
      <w:r w:rsidRPr="00443BB6">
        <w:rPr>
          <w:rFonts w:ascii="Calibri" w:hAnsi="Calibri"/>
          <w:b/>
          <w:bCs/>
          <w:sz w:val="48"/>
          <w:szCs w:val="48"/>
        </w:rPr>
        <w:t xml:space="preserve">Recruitment, </w:t>
      </w:r>
      <w:r w:rsidR="00D15C75" w:rsidRPr="00443BB6">
        <w:rPr>
          <w:rFonts w:ascii="Calibri" w:hAnsi="Calibri"/>
          <w:b/>
          <w:bCs/>
          <w:sz w:val="48"/>
          <w:szCs w:val="48"/>
        </w:rPr>
        <w:t>Retention</w:t>
      </w:r>
      <w:r w:rsidRPr="00443BB6">
        <w:rPr>
          <w:rFonts w:ascii="Calibri" w:hAnsi="Calibri"/>
          <w:b/>
          <w:bCs/>
          <w:sz w:val="48"/>
          <w:szCs w:val="48"/>
        </w:rPr>
        <w:t xml:space="preserve">, </w:t>
      </w:r>
      <w:r w:rsidR="00337F6F">
        <w:rPr>
          <w:rFonts w:ascii="Calibri" w:hAnsi="Calibri"/>
          <w:b/>
          <w:bCs/>
          <w:sz w:val="48"/>
          <w:szCs w:val="48"/>
        </w:rPr>
        <w:t xml:space="preserve">and </w:t>
      </w:r>
      <w:bookmarkStart w:id="0" w:name="_GoBack"/>
      <w:bookmarkEnd w:id="0"/>
      <w:r w:rsidRPr="00443BB6">
        <w:rPr>
          <w:rFonts w:ascii="Calibri" w:hAnsi="Calibri"/>
          <w:b/>
          <w:bCs/>
          <w:sz w:val="48"/>
          <w:szCs w:val="48"/>
        </w:rPr>
        <w:t>Reactivation</w:t>
      </w:r>
      <w:r w:rsidR="00E41229" w:rsidRPr="00443BB6">
        <w:rPr>
          <w:rFonts w:ascii="Calibri" w:hAnsi="Calibri"/>
          <w:b/>
          <w:bCs/>
          <w:sz w:val="48"/>
          <w:szCs w:val="48"/>
        </w:rPr>
        <w:t xml:space="preserve"> Grants</w:t>
      </w:r>
    </w:p>
    <w:p w:rsidR="00D15C75" w:rsidRPr="006028A5" w:rsidRDefault="00E41229" w:rsidP="00D15C75">
      <w:pPr>
        <w:jc w:val="center"/>
        <w:rPr>
          <w:rFonts w:ascii="Calibri" w:hAnsi="Calibri"/>
          <w:sz w:val="44"/>
        </w:rPr>
      </w:pPr>
      <w:r>
        <w:rPr>
          <w:rFonts w:ascii="Calibri" w:hAnsi="Calibri"/>
          <w:noProof/>
          <w:sz w:val="44"/>
        </w:rPr>
        <w:t xml:space="preserve">  </w:t>
      </w:r>
      <w:r w:rsidR="001B6279" w:rsidRPr="001B6279">
        <w:rPr>
          <w:rFonts w:ascii="Calibri" w:hAnsi="Calibri"/>
          <w:noProof/>
          <w:sz w:val="44"/>
        </w:rPr>
        <w:drawing>
          <wp:inline distT="0" distB="0" distL="0" distR="0">
            <wp:extent cx="1849408" cy="2010329"/>
            <wp:effectExtent l="0" t="4128" r="0" b="0"/>
            <wp:docPr id="6" name="Picture 6" descr="D:\Users\jelederm\AppData\Local\Temp\IMG_0340.JPG" title="youth ice fishing with crap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jelederm\AppData\Local\Temp\IMG_03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7" r="20042"/>
                    <a:stretch/>
                  </pic:blipFill>
                  <pic:spPr bwMode="auto">
                    <a:xfrm rot="5400000">
                      <a:off x="0" y="0"/>
                      <a:ext cx="1865714" cy="202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2F94">
        <w:rPr>
          <w:rFonts w:ascii="Calibri" w:hAnsi="Calibri"/>
          <w:noProof/>
          <w:sz w:val="44"/>
        </w:rPr>
        <w:drawing>
          <wp:inline distT="0" distB="0" distL="0" distR="0" wp14:anchorId="7F3D47C5">
            <wp:extent cx="2780935" cy="1856105"/>
            <wp:effectExtent l="0" t="0" r="635" b="0"/>
            <wp:docPr id="3" name="Picture 3" title="several youth setting up decoys in water for duck h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0" t="26398" r="3869"/>
                    <a:stretch/>
                  </pic:blipFill>
                  <pic:spPr bwMode="auto">
                    <a:xfrm>
                      <a:off x="0" y="0"/>
                      <a:ext cx="2806183" cy="187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3606" w:rsidRPr="00B33606">
        <w:rPr>
          <w:rFonts w:ascii="Calibri" w:hAnsi="Calibri"/>
          <w:noProof/>
          <w:sz w:val="44"/>
        </w:rPr>
        <w:drawing>
          <wp:inline distT="0" distB="0" distL="0" distR="0">
            <wp:extent cx="3376768" cy="1883105"/>
            <wp:effectExtent l="0" t="0" r="0" b="3175"/>
            <wp:docPr id="2" name="Picture 2" descr="D:\Users\jelederm\Desktop\Photos\Wolfe Lake 10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elederm\Desktop\Photos\Wolfe Lake 100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1" t="9143" r="673" b="19390"/>
                    <a:stretch/>
                  </pic:blipFill>
                  <pic:spPr bwMode="auto">
                    <a:xfrm>
                      <a:off x="0" y="0"/>
                      <a:ext cx="3402232" cy="18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6279" w:rsidRPr="001B6279">
        <w:rPr>
          <w:noProof/>
        </w:rPr>
        <w:drawing>
          <wp:inline distT="0" distB="0" distL="0" distR="0">
            <wp:extent cx="2828925" cy="1885950"/>
            <wp:effectExtent l="0" t="0" r="9525" b="0"/>
            <wp:docPr id="5" name="Picture 5" descr="D:\Users\jelederm\AppData\Local\Microsoft\Windows\Temporary Internet Files\Content.Outlook\9BOMG6ND\IMG_0379.JPG" title="women pheasant hunting group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jelederm\AppData\Local\Microsoft\Windows\Temporary Internet Files\Content.Outlook\9BOMG6ND\IMG_03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40" cy="188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829" w:rsidRPr="00443BB6" w:rsidRDefault="00033829" w:rsidP="00E41229">
      <w:pPr>
        <w:jc w:val="center"/>
        <w:rPr>
          <w:rFonts w:ascii="Calibri" w:hAnsi="Calibri"/>
          <w:sz w:val="12"/>
          <w:szCs w:val="12"/>
        </w:rPr>
      </w:pPr>
    </w:p>
    <w:p w:rsidR="00E41229" w:rsidRDefault="00337F6F" w:rsidP="00E41229">
      <w:pPr>
        <w:jc w:val="center"/>
        <w:rPr>
          <w:rStyle w:val="Hyperlink"/>
          <w:rFonts w:ascii="Calibri" w:hAnsi="Calibri"/>
        </w:rPr>
      </w:pPr>
      <w:hyperlink r:id="rId9" w:history="1">
        <w:r w:rsidR="00033829" w:rsidRPr="00555CD1">
          <w:rPr>
            <w:rStyle w:val="Hyperlink"/>
            <w:rFonts w:ascii="Calibri" w:hAnsi="Calibri"/>
          </w:rPr>
          <w:t>http://www.dnr.state.mn.us/angler_hunter_grants.html</w:t>
        </w:r>
      </w:hyperlink>
    </w:p>
    <w:p w:rsidR="00443BB6" w:rsidRDefault="00443BB6" w:rsidP="00E41229">
      <w:pPr>
        <w:jc w:val="center"/>
        <w:rPr>
          <w:rFonts w:ascii="Calibri" w:hAnsi="Calibri"/>
        </w:rPr>
      </w:pPr>
    </w:p>
    <w:p w:rsidR="00E41229" w:rsidRPr="00756C3A" w:rsidRDefault="00E41229" w:rsidP="00E41229">
      <w:pPr>
        <w:rPr>
          <w:rFonts w:ascii="Calibri" w:hAnsi="Calibri"/>
          <w:b/>
        </w:rPr>
      </w:pPr>
      <w:r w:rsidRPr="00756C3A">
        <w:rPr>
          <w:rFonts w:ascii="Calibri" w:hAnsi="Calibri"/>
          <w:b/>
        </w:rPr>
        <w:t>To date</w:t>
      </w:r>
      <w:r w:rsidR="008F030A">
        <w:rPr>
          <w:rFonts w:ascii="Calibri" w:hAnsi="Calibri"/>
          <w:b/>
        </w:rPr>
        <w:t xml:space="preserve"> (February 2019</w:t>
      </w:r>
      <w:r w:rsidR="00033829">
        <w:rPr>
          <w:rFonts w:ascii="Calibri" w:hAnsi="Calibri"/>
          <w:b/>
        </w:rPr>
        <w:t>)</w:t>
      </w:r>
      <w:r w:rsidRPr="00756C3A">
        <w:rPr>
          <w:rFonts w:ascii="Calibri" w:hAnsi="Calibri"/>
          <w:b/>
        </w:rPr>
        <w:t>:</w:t>
      </w:r>
    </w:p>
    <w:p w:rsidR="00EB1ECC" w:rsidRDefault="00443BB6" w:rsidP="0082243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Angler and Hunter Recruitment, </w:t>
      </w:r>
      <w:r w:rsidR="00EB1ECC">
        <w:rPr>
          <w:rFonts w:ascii="Calibri" w:hAnsi="Calibri"/>
        </w:rPr>
        <w:t>Retention</w:t>
      </w:r>
      <w:r>
        <w:rPr>
          <w:rFonts w:ascii="Calibri" w:hAnsi="Calibri"/>
        </w:rPr>
        <w:t>, and Reactivation</w:t>
      </w:r>
      <w:r w:rsidR="00EB1ECC">
        <w:rPr>
          <w:rFonts w:ascii="Calibri" w:hAnsi="Calibri"/>
        </w:rPr>
        <w:t xml:space="preserve"> (R3) Grant program began in 2016</w:t>
      </w:r>
      <w:r>
        <w:rPr>
          <w:rFonts w:ascii="Calibri" w:hAnsi="Calibri"/>
        </w:rPr>
        <w:t>.</w:t>
      </w:r>
    </w:p>
    <w:p w:rsidR="00E41229" w:rsidRDefault="00E32E42" w:rsidP="0082243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4</w:t>
      </w:r>
      <w:r w:rsidR="00E41229" w:rsidRPr="00D82F94">
        <w:rPr>
          <w:rFonts w:ascii="Calibri" w:hAnsi="Calibri"/>
        </w:rPr>
        <w:t xml:space="preserve"> rounds </w:t>
      </w:r>
      <w:r w:rsidR="00822433">
        <w:rPr>
          <w:rFonts w:ascii="Calibri" w:hAnsi="Calibri"/>
        </w:rPr>
        <w:t xml:space="preserve">- </w:t>
      </w:r>
      <w:r w:rsidR="00822433" w:rsidRPr="00822433">
        <w:rPr>
          <w:rFonts w:ascii="Calibri" w:hAnsi="Calibri"/>
        </w:rPr>
        <w:t>Round 1 projects completed Summer 2017, Rounds 2 and 3 projects completed Fall 2018, Round 4 projects just beginning</w:t>
      </w:r>
      <w:r w:rsidR="00443BB6">
        <w:rPr>
          <w:rFonts w:ascii="Calibri" w:hAnsi="Calibri"/>
        </w:rPr>
        <w:t>.</w:t>
      </w:r>
    </w:p>
    <w:p w:rsidR="00822433" w:rsidRPr="00822433" w:rsidRDefault="00822433" w:rsidP="0082243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22433">
        <w:rPr>
          <w:rFonts w:ascii="Calibri" w:hAnsi="Calibri"/>
        </w:rPr>
        <w:t xml:space="preserve">Round 1 was funded by the </w:t>
      </w:r>
      <w:r w:rsidR="00443BB6">
        <w:rPr>
          <w:rFonts w:ascii="Calibri" w:hAnsi="Calibri"/>
        </w:rPr>
        <w:t>Let’s Go Fishing appropriation</w:t>
      </w:r>
      <w:r w:rsidRPr="00822433">
        <w:rPr>
          <w:rFonts w:ascii="Calibri" w:hAnsi="Calibri"/>
        </w:rPr>
        <w:t xml:space="preserve">, Rounds 2-4 </w:t>
      </w:r>
      <w:r w:rsidR="00A81FFA">
        <w:rPr>
          <w:rFonts w:ascii="Calibri" w:hAnsi="Calibri"/>
        </w:rPr>
        <w:t>were</w:t>
      </w:r>
      <w:r w:rsidRPr="00822433">
        <w:rPr>
          <w:rFonts w:ascii="Calibri" w:hAnsi="Calibri"/>
        </w:rPr>
        <w:t xml:space="preserve"> funded by initiatives in the DNR base fund</w:t>
      </w:r>
      <w:r>
        <w:rPr>
          <w:rFonts w:ascii="Calibri" w:hAnsi="Calibri"/>
        </w:rPr>
        <w:t xml:space="preserve">ing from Game and Fish Fund. No funding is currently dedicated </w:t>
      </w:r>
      <w:r w:rsidR="00A81FFA">
        <w:rPr>
          <w:rFonts w:ascii="Calibri" w:hAnsi="Calibri"/>
        </w:rPr>
        <w:t xml:space="preserve">to R3 grants </w:t>
      </w:r>
      <w:r>
        <w:rPr>
          <w:rFonts w:ascii="Calibri" w:hAnsi="Calibri"/>
        </w:rPr>
        <w:t xml:space="preserve">in future budget years.  </w:t>
      </w:r>
      <w:r w:rsidRPr="00822433">
        <w:rPr>
          <w:rFonts w:ascii="Calibri" w:hAnsi="Calibri"/>
        </w:rPr>
        <w:t xml:space="preserve">  </w:t>
      </w:r>
    </w:p>
    <w:p w:rsidR="00D82F94" w:rsidRPr="00D82F94" w:rsidRDefault="00E32E42" w:rsidP="00D82F9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124</w:t>
      </w:r>
      <w:r w:rsidR="00E41229" w:rsidRPr="00D82F94">
        <w:rPr>
          <w:rFonts w:asciiTheme="minorHAnsi" w:hAnsiTheme="minorHAnsi"/>
        </w:rPr>
        <w:t xml:space="preserve"> appli</w:t>
      </w:r>
      <w:r w:rsidR="00D82F94" w:rsidRPr="00D82F94">
        <w:rPr>
          <w:rFonts w:asciiTheme="minorHAnsi" w:hAnsiTheme="minorHAnsi"/>
        </w:rPr>
        <w:t>c</w:t>
      </w:r>
      <w:r>
        <w:rPr>
          <w:rFonts w:asciiTheme="minorHAnsi" w:hAnsiTheme="minorHAnsi"/>
        </w:rPr>
        <w:t>ations submitted requesting $1.8</w:t>
      </w:r>
      <w:r w:rsidR="00D82F94" w:rsidRPr="00D82F94">
        <w:rPr>
          <w:rFonts w:asciiTheme="minorHAnsi" w:hAnsiTheme="minorHAnsi"/>
        </w:rPr>
        <w:t xml:space="preserve"> million</w:t>
      </w:r>
      <w:r w:rsidR="00443BB6">
        <w:rPr>
          <w:rFonts w:asciiTheme="minorHAnsi" w:hAnsiTheme="minorHAnsi"/>
        </w:rPr>
        <w:t>.</w:t>
      </w:r>
    </w:p>
    <w:p w:rsidR="00A17080" w:rsidRDefault="00E32E42" w:rsidP="00D82F9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E41229" w:rsidRPr="00D82F94">
        <w:rPr>
          <w:rFonts w:asciiTheme="minorHAnsi" w:hAnsiTheme="minorHAnsi"/>
        </w:rPr>
        <w:t>5 grants aw</w:t>
      </w:r>
      <w:r>
        <w:rPr>
          <w:rFonts w:asciiTheme="minorHAnsi" w:hAnsiTheme="minorHAnsi"/>
        </w:rPr>
        <w:t>arded for a total of $630</w:t>
      </w:r>
      <w:r w:rsidR="00D82F94">
        <w:rPr>
          <w:rFonts w:asciiTheme="minorHAnsi" w:hAnsiTheme="minorHAnsi"/>
        </w:rPr>
        <w:t>,000</w:t>
      </w:r>
      <w:r w:rsidR="00443BB6">
        <w:rPr>
          <w:rFonts w:asciiTheme="minorHAnsi" w:hAnsiTheme="minorHAnsi"/>
        </w:rPr>
        <w:t>.</w:t>
      </w:r>
    </w:p>
    <w:p w:rsidR="00E41229" w:rsidRDefault="00A17080" w:rsidP="00D82F9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First 35 grants (Rounds 1-3) leveraged matching funds totaling $</w:t>
      </w:r>
      <w:proofErr w:type="gramStart"/>
      <w:r>
        <w:rPr>
          <w:rFonts w:asciiTheme="minorHAnsi" w:hAnsiTheme="minorHAnsi"/>
        </w:rPr>
        <w:t>661,595</w:t>
      </w:r>
      <w:r w:rsidR="00443BB6">
        <w:rPr>
          <w:rFonts w:asciiTheme="minorHAnsi" w:hAnsiTheme="minorHAnsi"/>
        </w:rPr>
        <w:t xml:space="preserve"> .</w:t>
      </w:r>
      <w:proofErr w:type="gramEnd"/>
    </w:p>
    <w:p w:rsidR="00D82F94" w:rsidRDefault="00D82F94" w:rsidP="00D82F94">
      <w:pPr>
        <w:rPr>
          <w:rFonts w:asciiTheme="minorHAnsi" w:hAnsiTheme="minorHAnsi"/>
        </w:rPr>
      </w:pPr>
    </w:p>
    <w:p w:rsidR="00D82F94" w:rsidRPr="00756C3A" w:rsidRDefault="00A17080" w:rsidP="00D82F9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Round 1-3 </w:t>
      </w:r>
      <w:r w:rsidR="001B6279" w:rsidRPr="00756C3A">
        <w:rPr>
          <w:rFonts w:asciiTheme="minorHAnsi" w:hAnsiTheme="minorHAnsi"/>
          <w:b/>
        </w:rPr>
        <w:t>project highlights:</w:t>
      </w:r>
    </w:p>
    <w:p w:rsidR="001B6279" w:rsidRPr="00A17080" w:rsidRDefault="00756C3A" w:rsidP="00756C3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Total participants – </w:t>
      </w:r>
      <w:r w:rsidR="00A17080">
        <w:rPr>
          <w:rFonts w:asciiTheme="minorHAnsi" w:hAnsiTheme="minorHAnsi"/>
          <w:b/>
        </w:rPr>
        <w:t>10,780</w:t>
      </w:r>
    </w:p>
    <w:p w:rsidR="00A17080" w:rsidRPr="00A17080" w:rsidRDefault="00A17080" w:rsidP="00756C3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Demand for funds has far exceeded available dollars</w:t>
      </w:r>
    </w:p>
    <w:p w:rsidR="00A17080" w:rsidRPr="00D129CA" w:rsidRDefault="00A17080" w:rsidP="00756C3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Focus on engaging new audiences</w:t>
      </w:r>
    </w:p>
    <w:p w:rsidR="00D129CA" w:rsidRDefault="00D129CA" w:rsidP="00D129CA">
      <w:pPr>
        <w:rPr>
          <w:rFonts w:asciiTheme="minorHAnsi" w:hAnsiTheme="minorHAnsi"/>
        </w:rPr>
      </w:pPr>
    </w:p>
    <w:p w:rsidR="00033829" w:rsidRDefault="00033829" w:rsidP="00D129CA">
      <w:pPr>
        <w:rPr>
          <w:rFonts w:asciiTheme="minorHAnsi" w:hAnsiTheme="minorHAnsi"/>
        </w:rPr>
      </w:pPr>
      <w:r w:rsidRPr="00443BB6">
        <w:rPr>
          <w:rFonts w:asciiTheme="minorHAnsi" w:hAnsiTheme="minorHAnsi"/>
          <w:b/>
        </w:rPr>
        <w:t>Contact</w:t>
      </w:r>
      <w:r>
        <w:rPr>
          <w:rFonts w:asciiTheme="minorHAnsi" w:hAnsiTheme="minorHAnsi"/>
        </w:rPr>
        <w:t>:</w:t>
      </w:r>
    </w:p>
    <w:p w:rsidR="00A81FFA" w:rsidRDefault="0003382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Jeff Ledermann, MN DNR, </w:t>
      </w:r>
      <w:hyperlink r:id="rId10" w:history="1">
        <w:r w:rsidRPr="00555CD1">
          <w:rPr>
            <w:rStyle w:val="Hyperlink"/>
            <w:rFonts w:asciiTheme="minorHAnsi" w:hAnsiTheme="minorHAnsi"/>
          </w:rPr>
          <w:t>jeff.ledermann@state.mn.us</w:t>
        </w:r>
      </w:hyperlink>
      <w:r>
        <w:rPr>
          <w:rFonts w:asciiTheme="minorHAnsi" w:hAnsiTheme="minorHAnsi"/>
        </w:rPr>
        <w:t>, 651-259-5247</w:t>
      </w:r>
      <w:r w:rsidR="00A81FFA">
        <w:rPr>
          <w:rFonts w:asciiTheme="minorHAnsi" w:hAnsiTheme="minorHAnsi"/>
        </w:rPr>
        <w:br w:type="page"/>
      </w:r>
    </w:p>
    <w:p w:rsidR="00D129CA" w:rsidRPr="00443BB6" w:rsidRDefault="00FC41BF" w:rsidP="00D129CA">
      <w:pPr>
        <w:rPr>
          <w:rFonts w:asciiTheme="minorHAnsi" w:hAnsiTheme="minorHAnsi"/>
          <w:b/>
        </w:rPr>
      </w:pPr>
      <w:r w:rsidRPr="00443BB6">
        <w:rPr>
          <w:rFonts w:asciiTheme="minorHAnsi" w:hAnsiTheme="minorHAnsi"/>
          <w:b/>
        </w:rPr>
        <w:lastRenderedPageBreak/>
        <w:t xml:space="preserve">Round 1 </w:t>
      </w:r>
      <w:r w:rsidR="00033829" w:rsidRPr="00443BB6">
        <w:rPr>
          <w:rFonts w:asciiTheme="minorHAnsi" w:hAnsiTheme="minorHAnsi"/>
          <w:b/>
        </w:rPr>
        <w:t xml:space="preserve">grantee </w:t>
      </w:r>
      <w:r w:rsidR="00D129CA" w:rsidRPr="00443BB6">
        <w:rPr>
          <w:rFonts w:asciiTheme="minorHAnsi" w:hAnsiTheme="minorHAnsi"/>
          <w:b/>
        </w:rPr>
        <w:t>project descriptions</w:t>
      </w:r>
      <w:r w:rsidR="00410040" w:rsidRPr="00443BB6">
        <w:rPr>
          <w:rFonts w:asciiTheme="minorHAnsi" w:hAnsiTheme="minorHAnsi"/>
          <w:b/>
        </w:rPr>
        <w:t xml:space="preserve"> and outcomes</w:t>
      </w:r>
      <w:r w:rsidR="00A17080" w:rsidRPr="00443BB6">
        <w:rPr>
          <w:rFonts w:asciiTheme="minorHAnsi" w:hAnsiTheme="minorHAnsi"/>
          <w:b/>
        </w:rPr>
        <w:t>:</w:t>
      </w:r>
    </w:p>
    <w:p w:rsidR="00033829" w:rsidRPr="00D129CA" w:rsidRDefault="00033829" w:rsidP="00D129CA">
      <w:pPr>
        <w:rPr>
          <w:rFonts w:asciiTheme="minorHAnsi" w:hAnsiTheme="minorHAnsi"/>
        </w:rPr>
      </w:pPr>
    </w:p>
    <w:p w:rsidR="00D129CA" w:rsidRDefault="00D129CA" w:rsidP="00D129C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Tribal Fishing Adventures Inc.</w:t>
      </w:r>
      <w:r w:rsidRPr="00BB7780">
        <w:rPr>
          <w:rFonts w:asciiTheme="minorHAnsi" w:hAnsiTheme="minorHAnsi"/>
        </w:rPr>
        <w:t xml:space="preserve"> - introduced open water and ice fishing to at-risk Native American youth. Of the 100 youth who participated in events, 35 stayed in the program</w:t>
      </w:r>
      <w:r>
        <w:rPr>
          <w:rFonts w:asciiTheme="minorHAnsi" w:hAnsiTheme="minorHAnsi"/>
        </w:rPr>
        <w:t>.</w:t>
      </w:r>
    </w:p>
    <w:p w:rsidR="00756C3A" w:rsidRDefault="00756C3A" w:rsidP="00756C3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Red Wing Environmental Learning Center</w:t>
      </w:r>
      <w:r>
        <w:rPr>
          <w:rFonts w:asciiTheme="minorHAnsi" w:hAnsiTheme="minorHAnsi"/>
        </w:rPr>
        <w:t xml:space="preserve"> - </w:t>
      </w:r>
      <w:r w:rsidR="00BB7780">
        <w:rPr>
          <w:rFonts w:asciiTheme="minorHAnsi" w:hAnsiTheme="minorHAnsi"/>
        </w:rPr>
        <w:t>t</w:t>
      </w:r>
      <w:r w:rsidRPr="00756C3A">
        <w:rPr>
          <w:rFonts w:asciiTheme="minorHAnsi" w:hAnsiTheme="minorHAnsi"/>
        </w:rPr>
        <w:t>hrough hands on experiences students reported an increase in knowl</w:t>
      </w:r>
      <w:r>
        <w:rPr>
          <w:rFonts w:asciiTheme="minorHAnsi" w:hAnsiTheme="minorHAnsi"/>
        </w:rPr>
        <w:t>edge, understanding and respect for the environment.</w:t>
      </w:r>
    </w:p>
    <w:p w:rsidR="00756C3A" w:rsidRDefault="00756C3A" w:rsidP="00756C3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St. Paul Urban Ministries</w:t>
      </w:r>
      <w:r>
        <w:rPr>
          <w:rFonts w:asciiTheme="minorHAnsi" w:hAnsiTheme="minorHAnsi"/>
        </w:rPr>
        <w:t xml:space="preserve"> - </w:t>
      </w:r>
      <w:r w:rsidRPr="00756C3A">
        <w:rPr>
          <w:rFonts w:asciiTheme="minorHAnsi" w:hAnsiTheme="minorHAnsi"/>
        </w:rPr>
        <w:t>provided opportunities for inner city children, with specific focus on Hmong communities</w:t>
      </w:r>
      <w:r>
        <w:rPr>
          <w:rFonts w:asciiTheme="minorHAnsi" w:hAnsiTheme="minorHAnsi"/>
        </w:rPr>
        <w:t xml:space="preserve">, including a fishing trip to the BWCAW, which was a first for all participants. </w:t>
      </w:r>
    </w:p>
    <w:p w:rsidR="00BB7780" w:rsidRDefault="00BB7780" w:rsidP="00BB778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Douglas County Pheasants Forever</w:t>
      </w:r>
      <w:r>
        <w:rPr>
          <w:rFonts w:asciiTheme="minorHAnsi" w:hAnsiTheme="minorHAnsi"/>
        </w:rPr>
        <w:t xml:space="preserve"> – provided equipment for </w:t>
      </w:r>
      <w:r w:rsidRPr="00BB7780">
        <w:rPr>
          <w:rFonts w:asciiTheme="minorHAnsi" w:hAnsiTheme="minorHAnsi"/>
        </w:rPr>
        <w:t>Youth Outdoor Activity Day.</w:t>
      </w:r>
      <w:r w:rsidRPr="00BB7780">
        <w:t xml:space="preserve"> </w:t>
      </w:r>
      <w:r w:rsidRPr="00BB7780">
        <w:rPr>
          <w:rFonts w:asciiTheme="minorHAnsi" w:hAnsiTheme="minorHAnsi"/>
        </w:rPr>
        <w:t>90% of kids had no hunting experience and 79% of kids had no fishing experience until this exposure. Over 200 adults from non-shooting families participated in trap or archery.</w:t>
      </w:r>
    </w:p>
    <w:p w:rsidR="00BB7780" w:rsidRDefault="00BB7780" w:rsidP="00BB778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Three Rivers Park District</w:t>
      </w:r>
      <w:r>
        <w:rPr>
          <w:rFonts w:asciiTheme="minorHAnsi" w:hAnsiTheme="minorHAnsi"/>
        </w:rPr>
        <w:t xml:space="preserve"> – provided equipment to </w:t>
      </w:r>
      <w:r w:rsidRPr="00BB7780">
        <w:rPr>
          <w:rFonts w:asciiTheme="minorHAnsi" w:hAnsiTheme="minorHAnsi"/>
        </w:rPr>
        <w:t>expand fishing and hunting programs</w:t>
      </w:r>
      <w:r>
        <w:rPr>
          <w:rFonts w:asciiTheme="minorHAnsi" w:hAnsiTheme="minorHAnsi"/>
        </w:rPr>
        <w:t xml:space="preserve"> to diverse communities</w:t>
      </w:r>
      <w:r w:rsidRPr="00BB7780">
        <w:rPr>
          <w:rFonts w:asciiTheme="minorHAnsi" w:hAnsiTheme="minorHAnsi"/>
        </w:rPr>
        <w:t>.</w:t>
      </w:r>
    </w:p>
    <w:p w:rsidR="00BB7780" w:rsidRDefault="00BB7780" w:rsidP="00BB778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Minnesota Waterfowl Association</w:t>
      </w:r>
      <w:r>
        <w:rPr>
          <w:rFonts w:asciiTheme="minorHAnsi" w:hAnsiTheme="minorHAnsi"/>
        </w:rPr>
        <w:t xml:space="preserve"> – provided equipment to expand programming and participation at Woodie Camp.</w:t>
      </w:r>
    </w:p>
    <w:p w:rsidR="00BB7780" w:rsidRDefault="00BB7780" w:rsidP="00BB778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Ruffed Grouse Society</w:t>
      </w:r>
      <w:r>
        <w:rPr>
          <w:rFonts w:asciiTheme="minorHAnsi" w:hAnsiTheme="minorHAnsi"/>
        </w:rPr>
        <w:t xml:space="preserve"> – introduced women </w:t>
      </w:r>
      <w:r w:rsidR="000273BC">
        <w:rPr>
          <w:rFonts w:asciiTheme="minorHAnsi" w:hAnsiTheme="minorHAnsi"/>
        </w:rPr>
        <w:t>to wing</w:t>
      </w:r>
      <w:r>
        <w:rPr>
          <w:rFonts w:asciiTheme="minorHAnsi" w:hAnsiTheme="minorHAnsi"/>
        </w:rPr>
        <w:t xml:space="preserve"> shooting. </w:t>
      </w:r>
      <w:r w:rsidRPr="00BB7780">
        <w:rPr>
          <w:rFonts w:asciiTheme="minorHAnsi" w:hAnsiTheme="minorHAnsi"/>
        </w:rPr>
        <w:t xml:space="preserve">Most </w:t>
      </w:r>
      <w:r>
        <w:rPr>
          <w:rFonts w:asciiTheme="minorHAnsi" w:hAnsiTheme="minorHAnsi"/>
        </w:rPr>
        <w:t xml:space="preserve">reported after the class that they </w:t>
      </w:r>
      <w:r w:rsidRPr="00BB7780">
        <w:rPr>
          <w:rFonts w:asciiTheme="minorHAnsi" w:hAnsiTheme="minorHAnsi"/>
        </w:rPr>
        <w:t>had hunted with family members or had trips planned to hunt in the future</w:t>
      </w:r>
      <w:r>
        <w:rPr>
          <w:rFonts w:asciiTheme="minorHAnsi" w:hAnsiTheme="minorHAnsi"/>
        </w:rPr>
        <w:t>.</w:t>
      </w:r>
    </w:p>
    <w:p w:rsidR="00BB7780" w:rsidRDefault="00BB7780" w:rsidP="00261BB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Bald Eagle Sportsmen's Association/Minnesota Deer Hunter's Association</w:t>
      </w:r>
      <w:r>
        <w:rPr>
          <w:rFonts w:asciiTheme="minorHAnsi" w:hAnsiTheme="minorHAnsi"/>
        </w:rPr>
        <w:t xml:space="preserve"> - </w:t>
      </w:r>
      <w:r w:rsidR="00261BB4" w:rsidRPr="00261BB4">
        <w:rPr>
          <w:rFonts w:asciiTheme="minorHAnsi" w:hAnsiTheme="minorHAnsi"/>
        </w:rPr>
        <w:t>Over 90% of participants and mentors in OAKs archery programs hunted during archery season. 65% of participants hunted 6 times or more during the archery season.</w:t>
      </w:r>
    </w:p>
    <w:p w:rsidR="00261BB4" w:rsidRDefault="00261BB4" w:rsidP="000273B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Fishing For Life</w:t>
      </w:r>
      <w:r>
        <w:rPr>
          <w:rFonts w:asciiTheme="minorHAnsi" w:hAnsiTheme="minorHAnsi"/>
        </w:rPr>
        <w:t xml:space="preserve"> - </w:t>
      </w:r>
      <w:r w:rsidRPr="00261BB4">
        <w:rPr>
          <w:rFonts w:asciiTheme="minorHAnsi" w:hAnsiTheme="minorHAnsi"/>
        </w:rPr>
        <w:t>provide one-on-one outdoor related experience to youth ages 10-16 years old. An emphasis is placed on youth from military or single parent families</w:t>
      </w:r>
      <w:r>
        <w:rPr>
          <w:rFonts w:asciiTheme="minorHAnsi" w:hAnsiTheme="minorHAnsi"/>
        </w:rPr>
        <w:t xml:space="preserve">. </w:t>
      </w:r>
      <w:r w:rsidR="000273BC" w:rsidRPr="000273BC">
        <w:rPr>
          <w:rFonts w:asciiTheme="minorHAnsi" w:hAnsiTheme="minorHAnsi"/>
        </w:rPr>
        <w:t>Each mentee participated in the year long program and all mentors have agreed to another year with current mentees.</w:t>
      </w:r>
    </w:p>
    <w:p w:rsidR="000273BC" w:rsidRDefault="000273BC" w:rsidP="000273B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Minnesota Trout Unlimited</w:t>
      </w:r>
      <w:r>
        <w:rPr>
          <w:rFonts w:asciiTheme="minorHAnsi" w:hAnsiTheme="minorHAnsi"/>
        </w:rPr>
        <w:t xml:space="preserve"> – provided fishing equipment to expand programming for 49 clinics and events. At Metro events, </w:t>
      </w:r>
      <w:r w:rsidRPr="000273BC">
        <w:rPr>
          <w:rFonts w:asciiTheme="minorHAnsi" w:hAnsiTheme="minorHAnsi"/>
        </w:rPr>
        <w:t>65% were minorities, 35% had no fishing exposure</w:t>
      </w:r>
      <w:r>
        <w:rPr>
          <w:rFonts w:asciiTheme="minorHAnsi" w:hAnsiTheme="minorHAnsi"/>
        </w:rPr>
        <w:t xml:space="preserve">. </w:t>
      </w:r>
      <w:r w:rsidRPr="000273BC">
        <w:rPr>
          <w:rFonts w:asciiTheme="minorHAnsi" w:hAnsiTheme="minorHAnsi"/>
        </w:rPr>
        <w:t>80% have plans for future outings</w:t>
      </w:r>
    </w:p>
    <w:p w:rsidR="000273BC" w:rsidRPr="00BB7780" w:rsidRDefault="000273BC" w:rsidP="000273BC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273BC">
        <w:rPr>
          <w:rFonts w:asciiTheme="minorHAnsi" w:hAnsiTheme="minorHAnsi"/>
          <w:b/>
        </w:rPr>
        <w:t>Ruffed Grouse Society</w:t>
      </w:r>
      <w:r>
        <w:rPr>
          <w:rFonts w:asciiTheme="minorHAnsi" w:hAnsiTheme="minorHAnsi"/>
        </w:rPr>
        <w:t xml:space="preserve"> – developed </w:t>
      </w:r>
      <w:r w:rsidRPr="000273BC">
        <w:rPr>
          <w:rFonts w:asciiTheme="minorHAnsi" w:hAnsiTheme="minorHAnsi"/>
        </w:rPr>
        <w:t>New Hunter Mentor Program</w:t>
      </w:r>
      <w:r>
        <w:rPr>
          <w:rFonts w:asciiTheme="minorHAnsi" w:hAnsiTheme="minorHAnsi"/>
        </w:rPr>
        <w:t xml:space="preserve"> pilot, expanding to all chapters.</w:t>
      </w:r>
    </w:p>
    <w:sectPr w:rsidR="000273BC" w:rsidRPr="00BB7780" w:rsidSect="00E34038">
      <w:pgSz w:w="12240" w:h="15840"/>
      <w:pgMar w:top="1152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3F88"/>
    <w:multiLevelType w:val="hybridMultilevel"/>
    <w:tmpl w:val="13FE5C58"/>
    <w:lvl w:ilvl="0" w:tplc="D338A71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4EBE"/>
    <w:multiLevelType w:val="hybridMultilevel"/>
    <w:tmpl w:val="ADAAFE40"/>
    <w:lvl w:ilvl="0" w:tplc="D338A71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77355"/>
    <w:multiLevelType w:val="hybridMultilevel"/>
    <w:tmpl w:val="BB461356"/>
    <w:lvl w:ilvl="0" w:tplc="D338A71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75"/>
    <w:rsid w:val="000273BC"/>
    <w:rsid w:val="00033829"/>
    <w:rsid w:val="001B6279"/>
    <w:rsid w:val="00261BB4"/>
    <w:rsid w:val="00337F6F"/>
    <w:rsid w:val="00371221"/>
    <w:rsid w:val="00410040"/>
    <w:rsid w:val="00443BB6"/>
    <w:rsid w:val="004626AB"/>
    <w:rsid w:val="004B1211"/>
    <w:rsid w:val="0051594A"/>
    <w:rsid w:val="00546A12"/>
    <w:rsid w:val="00756C3A"/>
    <w:rsid w:val="007839FA"/>
    <w:rsid w:val="00822433"/>
    <w:rsid w:val="00867FE4"/>
    <w:rsid w:val="008861C2"/>
    <w:rsid w:val="008F030A"/>
    <w:rsid w:val="00907C4D"/>
    <w:rsid w:val="00A17080"/>
    <w:rsid w:val="00A81FFA"/>
    <w:rsid w:val="00B33606"/>
    <w:rsid w:val="00BB7780"/>
    <w:rsid w:val="00C011A6"/>
    <w:rsid w:val="00D129CA"/>
    <w:rsid w:val="00D15C75"/>
    <w:rsid w:val="00D82F94"/>
    <w:rsid w:val="00E054B5"/>
    <w:rsid w:val="00E2282B"/>
    <w:rsid w:val="00E32E42"/>
    <w:rsid w:val="00E34038"/>
    <w:rsid w:val="00E41229"/>
    <w:rsid w:val="00EB1ECC"/>
    <w:rsid w:val="00EC2435"/>
    <w:rsid w:val="00F27125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905D"/>
  <w15:chartTrackingRefBased/>
  <w15:docId w15:val="{207F5278-C25B-4E6E-8814-67C27BC3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26AB"/>
    <w:pPr>
      <w:keepNext/>
      <w:jc w:val="center"/>
      <w:outlineLvl w:val="0"/>
    </w:pPr>
    <w:rPr>
      <w:rFonts w:ascii="Tahoma" w:hAnsi="Tahoma" w:cs="Tahoma"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4626AB"/>
    <w:pPr>
      <w:keepNext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utlineLvl w:val="1"/>
    </w:pPr>
    <w:rPr>
      <w:rFonts w:ascii="Tahoma" w:hAnsi="Tahoma" w:cs="Tahoma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6AB"/>
    <w:rPr>
      <w:rFonts w:ascii="Tahoma" w:hAnsi="Tahoma" w:cs="Tahoma"/>
      <w:sz w:val="2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626AB"/>
    <w:rPr>
      <w:rFonts w:ascii="Tahoma" w:hAnsi="Tahoma" w:cs="Tahoma"/>
      <w:szCs w:val="24"/>
      <w:u w:val="single"/>
    </w:rPr>
  </w:style>
  <w:style w:type="paragraph" w:styleId="Title">
    <w:name w:val="Title"/>
    <w:basedOn w:val="Normal"/>
    <w:link w:val="TitleChar"/>
    <w:qFormat/>
    <w:rsid w:val="004626AB"/>
    <w:pPr>
      <w:jc w:val="center"/>
    </w:pPr>
    <w:rPr>
      <w:rFonts w:ascii="Tahoma" w:hAnsi="Tahoma" w:cs="Tahoma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4626AB"/>
    <w:rPr>
      <w:rFonts w:ascii="Tahoma" w:hAnsi="Tahoma" w:cs="Tahoma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D15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eff.ledermann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r.state.mn.us/angler_hunter_gra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Ledermann</dc:creator>
  <cp:keywords/>
  <dc:description/>
  <cp:lastModifiedBy>Waters, John (DNR)</cp:lastModifiedBy>
  <cp:revision>3</cp:revision>
  <dcterms:created xsi:type="dcterms:W3CDTF">2019-02-14T17:45:00Z</dcterms:created>
  <dcterms:modified xsi:type="dcterms:W3CDTF">2019-02-14T17:46:00Z</dcterms:modified>
</cp:coreProperties>
</file>