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0AD" w:rsidRDefault="007930AD">
      <w:pPr>
        <w:jc w:val="center"/>
        <w:rPr>
          <w:sz w:val="28"/>
        </w:rPr>
      </w:pPr>
      <w:bookmarkStart w:id="0" w:name="_GoBack"/>
      <w:bookmarkEnd w:id="0"/>
      <w:r>
        <w:t xml:space="preserve">   </w:t>
      </w:r>
    </w:p>
    <w:p w:rsidR="007930AD" w:rsidRDefault="007930AD">
      <w:pPr>
        <w:rPr>
          <w:sz w:val="28"/>
        </w:rPr>
      </w:pPr>
      <w:r>
        <w:rPr>
          <w:sz w:val="28"/>
        </w:rPr>
        <w:tab/>
      </w:r>
      <w:r>
        <w:rPr>
          <w:sz w:val="28"/>
        </w:rPr>
        <w:tab/>
      </w:r>
      <w:r>
        <w:rPr>
          <w:sz w:val="28"/>
        </w:rPr>
        <w:tab/>
      </w:r>
      <w:r>
        <w:rPr>
          <w:sz w:val="28"/>
        </w:rPr>
        <w:tab/>
      </w:r>
      <w:r>
        <w:rPr>
          <w:sz w:val="28"/>
        </w:rPr>
        <w:tab/>
        <w:t xml:space="preserve">  </w:t>
      </w:r>
      <w:r w:rsidR="00D146C8">
        <w:rPr>
          <w:sz w:val="28"/>
        </w:rPr>
        <w:t xml:space="preserve">          </w:t>
      </w:r>
    </w:p>
    <w:p w:rsidR="007930AD" w:rsidRPr="000E245D" w:rsidRDefault="000E245D" w:rsidP="000E245D">
      <w:pPr>
        <w:rPr>
          <w:b/>
          <w:bCs/>
          <w:sz w:val="36"/>
        </w:rPr>
      </w:pPr>
      <w:r>
        <w:rPr>
          <w:noProof/>
        </w:rPr>
        <w:drawing>
          <wp:inline distT="0" distB="0" distL="0" distR="0" wp14:anchorId="38CC58DF" wp14:editId="127A46F8">
            <wp:extent cx="2118360" cy="876300"/>
            <wp:effectExtent l="0" t="0" r="0" b="0"/>
            <wp:docPr id="2" name="Picture 2" descr="cid:image001.png@01CF2182.BCF03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182.BCF03E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18360" cy="876300"/>
                    </a:xfrm>
                    <a:prstGeom prst="rect">
                      <a:avLst/>
                    </a:prstGeom>
                    <a:noFill/>
                    <a:ln>
                      <a:noFill/>
                    </a:ln>
                  </pic:spPr>
                </pic:pic>
              </a:graphicData>
            </a:graphic>
          </wp:inline>
        </w:drawing>
      </w:r>
      <w:r w:rsidR="00774839">
        <w:rPr>
          <w:b/>
          <w:bCs/>
          <w:sz w:val="36"/>
        </w:rPr>
        <w:tab/>
        <w:t>Board of Commissioners</w:t>
      </w:r>
    </w:p>
    <w:p w:rsidR="007930AD" w:rsidRPr="00B95920" w:rsidRDefault="007930AD">
      <w:pPr>
        <w:rPr>
          <w:b/>
          <w:bCs/>
          <w:sz w:val="18"/>
          <w:u w:val="single"/>
        </w:rPr>
      </w:pPr>
      <w:r>
        <w:rPr>
          <w:sz w:val="28"/>
        </w:rPr>
        <w:tab/>
      </w:r>
      <w:r>
        <w:rPr>
          <w:sz w:val="28"/>
        </w:rPr>
        <w:tab/>
      </w:r>
      <w:r>
        <w:rPr>
          <w:sz w:val="28"/>
        </w:rPr>
        <w:tab/>
      </w:r>
      <w:r>
        <w:rPr>
          <w:sz w:val="28"/>
        </w:rPr>
        <w:tab/>
      </w:r>
      <w:r>
        <w:rPr>
          <w:sz w:val="28"/>
        </w:rPr>
        <w:tab/>
      </w:r>
      <w:r>
        <w:rPr>
          <w:sz w:val="28"/>
        </w:rPr>
        <w:tab/>
      </w:r>
      <w:r>
        <w:rPr>
          <w:sz w:val="28"/>
        </w:rPr>
        <w:tab/>
      </w:r>
      <w:r w:rsidR="00190D84">
        <w:rPr>
          <w:sz w:val="28"/>
        </w:rPr>
        <w:tab/>
      </w:r>
      <w:r w:rsidR="00190D84">
        <w:rPr>
          <w:sz w:val="28"/>
        </w:rPr>
        <w:tab/>
      </w:r>
      <w:r w:rsidR="00190D84">
        <w:rPr>
          <w:sz w:val="28"/>
        </w:rPr>
        <w:tab/>
      </w:r>
      <w:r w:rsidR="00190D84">
        <w:rPr>
          <w:sz w:val="28"/>
        </w:rPr>
        <w:tab/>
      </w:r>
      <w:r w:rsidR="00190D84">
        <w:rPr>
          <w:sz w:val="28"/>
        </w:rPr>
        <w:tab/>
      </w:r>
      <w:r>
        <w:rPr>
          <w:sz w:val="28"/>
        </w:rPr>
        <w:tab/>
        <w:t xml:space="preserve">  </w:t>
      </w:r>
      <w:r>
        <w:rPr>
          <w:sz w:val="28"/>
        </w:rPr>
        <w:tab/>
      </w:r>
      <w:r w:rsidR="00D146C8">
        <w:rPr>
          <w:sz w:val="28"/>
        </w:rPr>
        <w:t xml:space="preserve">   </w:t>
      </w:r>
      <w:r>
        <w:rPr>
          <w:sz w:val="28"/>
        </w:rPr>
        <w:tab/>
      </w:r>
      <w:r>
        <w:rPr>
          <w:sz w:val="28"/>
        </w:rPr>
        <w:tab/>
      </w:r>
      <w:r>
        <w:rPr>
          <w:sz w:val="28"/>
        </w:rPr>
        <w:tab/>
      </w:r>
      <w:r>
        <w:rPr>
          <w:sz w:val="28"/>
        </w:rPr>
        <w:tab/>
      </w:r>
      <w:r w:rsidR="00774839">
        <w:rPr>
          <w:sz w:val="28"/>
        </w:rPr>
        <w:tab/>
      </w:r>
      <w:r w:rsidR="00774839">
        <w:rPr>
          <w:sz w:val="28"/>
        </w:rPr>
        <w:tab/>
      </w:r>
      <w:r w:rsidR="00774839">
        <w:rPr>
          <w:sz w:val="28"/>
        </w:rPr>
        <w:tab/>
      </w:r>
      <w:r w:rsidR="00774839">
        <w:rPr>
          <w:sz w:val="28"/>
        </w:rPr>
        <w:tab/>
      </w:r>
      <w:r w:rsidR="00774839">
        <w:rPr>
          <w:sz w:val="28"/>
        </w:rPr>
        <w:tab/>
      </w:r>
      <w:r w:rsidR="00774839">
        <w:rPr>
          <w:sz w:val="28"/>
        </w:rPr>
        <w:tab/>
      </w:r>
      <w:r w:rsidR="00774839">
        <w:rPr>
          <w:sz w:val="28"/>
        </w:rPr>
        <w:tab/>
        <w:t xml:space="preserve">  </w:t>
      </w:r>
      <w:r w:rsidR="002176C2">
        <w:rPr>
          <w:sz w:val="28"/>
        </w:rPr>
        <w:t xml:space="preserve"> </w:t>
      </w:r>
      <w:r w:rsidR="00190D84">
        <w:rPr>
          <w:sz w:val="28"/>
        </w:rPr>
        <w:tab/>
      </w:r>
      <w:r w:rsidR="00190D84">
        <w:rPr>
          <w:sz w:val="28"/>
        </w:rPr>
        <w:tab/>
        <w:t xml:space="preserve">        </w:t>
      </w:r>
      <w:r w:rsidR="00C043AC">
        <w:rPr>
          <w:sz w:val="28"/>
        </w:rPr>
        <w:tab/>
      </w:r>
      <w:r w:rsidR="00C043AC">
        <w:rPr>
          <w:sz w:val="28"/>
        </w:rPr>
        <w:tab/>
      </w:r>
      <w:r w:rsidR="00C043AC">
        <w:rPr>
          <w:sz w:val="28"/>
        </w:rPr>
        <w:tab/>
      </w:r>
      <w:r w:rsidR="00C043AC">
        <w:rPr>
          <w:sz w:val="28"/>
        </w:rPr>
        <w:tab/>
      </w:r>
      <w:r w:rsidR="00C043AC">
        <w:rPr>
          <w:sz w:val="28"/>
        </w:rPr>
        <w:tab/>
      </w:r>
      <w:r w:rsidR="00C043AC">
        <w:rPr>
          <w:sz w:val="28"/>
        </w:rPr>
        <w:tab/>
      </w:r>
      <w:r w:rsidR="00C043AC">
        <w:rPr>
          <w:sz w:val="28"/>
        </w:rPr>
        <w:tab/>
      </w:r>
      <w:r w:rsidR="00C043AC">
        <w:rPr>
          <w:sz w:val="28"/>
        </w:rPr>
        <w:tab/>
      </w:r>
      <w:r w:rsidR="00C043AC">
        <w:rPr>
          <w:sz w:val="28"/>
        </w:rPr>
        <w:tab/>
      </w:r>
      <w:r w:rsidR="00C043AC">
        <w:rPr>
          <w:sz w:val="28"/>
        </w:rPr>
        <w:tab/>
      </w:r>
      <w:r w:rsidR="00C043AC">
        <w:rPr>
          <w:sz w:val="28"/>
        </w:rPr>
        <w:tab/>
        <w:t xml:space="preserve"> </w:t>
      </w:r>
      <w:r w:rsidR="00B92244">
        <w:rPr>
          <w:sz w:val="28"/>
        </w:rPr>
        <w:tab/>
      </w:r>
      <w:r w:rsidR="00B92244">
        <w:rPr>
          <w:sz w:val="28"/>
        </w:rPr>
        <w:tab/>
      </w:r>
      <w:r w:rsidR="00B92244">
        <w:rPr>
          <w:sz w:val="28"/>
        </w:rPr>
        <w:tab/>
      </w:r>
      <w:r w:rsidR="00B92244">
        <w:rPr>
          <w:sz w:val="28"/>
        </w:rPr>
        <w:tab/>
      </w:r>
      <w:r w:rsidR="00C043AC">
        <w:rPr>
          <w:sz w:val="28"/>
        </w:rPr>
        <w:t xml:space="preserve">       </w:t>
      </w:r>
      <w:r w:rsidR="00774839" w:rsidRPr="00B95920">
        <w:rPr>
          <w:b/>
          <w:bCs/>
          <w:sz w:val="18"/>
          <w:u w:val="single"/>
        </w:rPr>
        <w:t>COMMISSIONERS</w:t>
      </w:r>
    </w:p>
    <w:p w:rsidR="007930AD" w:rsidRPr="002176C2" w:rsidRDefault="007930AD">
      <w:pPr>
        <w:pStyle w:val="Heading2"/>
        <w:rPr>
          <w:b w:val="0"/>
        </w:rPr>
      </w:pPr>
      <w:r w:rsidRPr="002176C2">
        <w:rPr>
          <w:b w:val="0"/>
        </w:rPr>
        <w:t>Polk County</w:t>
      </w:r>
      <w:r w:rsidR="00774839" w:rsidRPr="002176C2">
        <w:rPr>
          <w:b w:val="0"/>
        </w:rPr>
        <w:t xml:space="preserve"> </w:t>
      </w:r>
      <w:r w:rsidR="005444F3">
        <w:rPr>
          <w:b w:val="0"/>
        </w:rPr>
        <w:t>Government Center</w:t>
      </w:r>
      <w:r w:rsidR="00E32225">
        <w:rPr>
          <w:b w:val="0"/>
        </w:rPr>
        <w:tab/>
      </w:r>
      <w:r w:rsidR="00E32225">
        <w:rPr>
          <w:b w:val="0"/>
        </w:rPr>
        <w:tab/>
      </w:r>
      <w:r w:rsidR="00E32225">
        <w:rPr>
          <w:b w:val="0"/>
        </w:rPr>
        <w:tab/>
      </w:r>
      <w:r w:rsidR="00E32225">
        <w:rPr>
          <w:b w:val="0"/>
        </w:rPr>
        <w:tab/>
      </w:r>
      <w:r w:rsidR="00E32225">
        <w:rPr>
          <w:b w:val="0"/>
        </w:rPr>
        <w:tab/>
      </w:r>
      <w:r w:rsidR="00E32225">
        <w:rPr>
          <w:b w:val="0"/>
        </w:rPr>
        <w:tab/>
      </w:r>
      <w:r w:rsidR="00E32225">
        <w:rPr>
          <w:b w:val="0"/>
        </w:rPr>
        <w:tab/>
        <w:t xml:space="preserve">             </w:t>
      </w:r>
      <w:r w:rsidR="00B95920">
        <w:rPr>
          <w:b w:val="0"/>
        </w:rPr>
        <w:t xml:space="preserve">                      </w:t>
      </w:r>
      <w:r w:rsidR="00B95920">
        <w:rPr>
          <w:b w:val="0"/>
          <w:sz w:val="16"/>
          <w:szCs w:val="16"/>
        </w:rPr>
        <w:t>GERALD JACOBSON</w:t>
      </w:r>
      <w:r w:rsidR="002176C2">
        <w:rPr>
          <w:b w:val="0"/>
          <w:sz w:val="16"/>
          <w:szCs w:val="16"/>
        </w:rPr>
        <w:t xml:space="preserve">, </w:t>
      </w:r>
      <w:r w:rsidR="00B95920">
        <w:rPr>
          <w:b w:val="0"/>
          <w:sz w:val="16"/>
          <w:szCs w:val="16"/>
        </w:rPr>
        <w:t>Fertile</w:t>
      </w:r>
    </w:p>
    <w:p w:rsidR="007930AD" w:rsidRPr="002176C2" w:rsidRDefault="007930AD">
      <w:pPr>
        <w:rPr>
          <w:bCs/>
          <w:sz w:val="18"/>
        </w:rPr>
      </w:pPr>
      <w:r w:rsidRPr="002176C2">
        <w:rPr>
          <w:bCs/>
          <w:sz w:val="18"/>
        </w:rPr>
        <w:t xml:space="preserve">612 N Broadway – </w:t>
      </w:r>
      <w:r w:rsidR="002176C2" w:rsidRPr="002176C2">
        <w:rPr>
          <w:bCs/>
          <w:sz w:val="18"/>
        </w:rPr>
        <w:t>Room 211</w:t>
      </w:r>
      <w:r w:rsidRPr="002176C2">
        <w:rPr>
          <w:bCs/>
          <w:sz w:val="18"/>
        </w:rPr>
        <w:tab/>
      </w:r>
      <w:r w:rsidRPr="002176C2">
        <w:rPr>
          <w:bCs/>
          <w:sz w:val="18"/>
        </w:rPr>
        <w:tab/>
      </w:r>
      <w:r w:rsidRPr="002176C2">
        <w:rPr>
          <w:bCs/>
          <w:sz w:val="18"/>
        </w:rPr>
        <w:tab/>
      </w:r>
      <w:r w:rsidRPr="002176C2">
        <w:rPr>
          <w:bCs/>
          <w:sz w:val="18"/>
        </w:rPr>
        <w:tab/>
      </w:r>
      <w:r w:rsidRPr="002176C2">
        <w:rPr>
          <w:bCs/>
          <w:sz w:val="18"/>
        </w:rPr>
        <w:tab/>
      </w:r>
      <w:r w:rsidRPr="002176C2">
        <w:rPr>
          <w:bCs/>
          <w:sz w:val="18"/>
        </w:rPr>
        <w:tab/>
      </w:r>
      <w:r w:rsidR="009F573B">
        <w:rPr>
          <w:bCs/>
          <w:sz w:val="18"/>
        </w:rPr>
        <w:t xml:space="preserve">              W</w:t>
      </w:r>
      <w:r w:rsidR="002176C2">
        <w:rPr>
          <w:sz w:val="16"/>
          <w:szCs w:val="16"/>
        </w:rPr>
        <w:t xml:space="preserve">ARREN STRANDELL, </w:t>
      </w:r>
      <w:r w:rsidR="009F573B">
        <w:rPr>
          <w:sz w:val="16"/>
          <w:szCs w:val="16"/>
        </w:rPr>
        <w:t xml:space="preserve">Vice-Chair, </w:t>
      </w:r>
      <w:r w:rsidR="002176C2">
        <w:rPr>
          <w:sz w:val="16"/>
          <w:szCs w:val="16"/>
        </w:rPr>
        <w:t>East Grand Forks</w:t>
      </w:r>
    </w:p>
    <w:p w:rsidR="007930AD" w:rsidRPr="002176C2" w:rsidRDefault="007930AD">
      <w:pPr>
        <w:pStyle w:val="Heading2"/>
        <w:rPr>
          <w:b w:val="0"/>
        </w:rPr>
      </w:pPr>
      <w:r w:rsidRPr="002176C2">
        <w:rPr>
          <w:b w:val="0"/>
        </w:rPr>
        <w:t>Crookston, MN  56716-1452</w:t>
      </w:r>
      <w:r w:rsidRPr="002176C2">
        <w:rPr>
          <w:b w:val="0"/>
        </w:rPr>
        <w:tab/>
      </w:r>
      <w:r w:rsidRPr="002176C2">
        <w:rPr>
          <w:b w:val="0"/>
        </w:rPr>
        <w:tab/>
      </w:r>
      <w:r w:rsidRPr="002176C2">
        <w:rPr>
          <w:b w:val="0"/>
        </w:rPr>
        <w:tab/>
      </w:r>
      <w:r w:rsidR="00774839" w:rsidRPr="002176C2">
        <w:rPr>
          <w:b w:val="0"/>
        </w:rPr>
        <w:tab/>
      </w:r>
      <w:r w:rsidR="00774839" w:rsidRPr="002176C2">
        <w:rPr>
          <w:b w:val="0"/>
        </w:rPr>
        <w:tab/>
        <w:t xml:space="preserve">        </w:t>
      </w:r>
      <w:r w:rsidR="002176C2">
        <w:rPr>
          <w:b w:val="0"/>
        </w:rPr>
        <w:t xml:space="preserve">  </w:t>
      </w:r>
      <w:r w:rsidR="00B70AD0">
        <w:rPr>
          <w:b w:val="0"/>
        </w:rPr>
        <w:t xml:space="preserve">         </w:t>
      </w:r>
      <w:r w:rsidR="00E32225">
        <w:rPr>
          <w:b w:val="0"/>
        </w:rPr>
        <w:t xml:space="preserve">                               </w:t>
      </w:r>
      <w:r w:rsidR="00443BB9">
        <w:rPr>
          <w:b w:val="0"/>
        </w:rPr>
        <w:t xml:space="preserve"> </w:t>
      </w:r>
      <w:r w:rsidR="00E32225">
        <w:rPr>
          <w:b w:val="0"/>
        </w:rPr>
        <w:t xml:space="preserve">          </w:t>
      </w:r>
      <w:r w:rsidR="00B95920">
        <w:rPr>
          <w:b w:val="0"/>
        </w:rPr>
        <w:t xml:space="preserve">                      </w:t>
      </w:r>
      <w:r w:rsidR="00B95920">
        <w:rPr>
          <w:b w:val="0"/>
          <w:sz w:val="16"/>
          <w:szCs w:val="16"/>
        </w:rPr>
        <w:t>GARY WILLHITE, Crookston</w:t>
      </w:r>
    </w:p>
    <w:p w:rsidR="007930AD" w:rsidRPr="002176C2" w:rsidRDefault="007930AD">
      <w:pPr>
        <w:rPr>
          <w:bCs/>
          <w:sz w:val="14"/>
          <w:szCs w:val="14"/>
        </w:rPr>
      </w:pPr>
      <w:r w:rsidRPr="002176C2">
        <w:rPr>
          <w:bCs/>
          <w:sz w:val="18"/>
        </w:rPr>
        <w:t>Phone:  (218) 281-5408</w:t>
      </w:r>
      <w:r w:rsidRPr="002176C2">
        <w:rPr>
          <w:bCs/>
          <w:sz w:val="18"/>
        </w:rPr>
        <w:tab/>
      </w:r>
      <w:r w:rsidRPr="002176C2">
        <w:rPr>
          <w:bCs/>
          <w:sz w:val="18"/>
        </w:rPr>
        <w:tab/>
      </w:r>
      <w:r w:rsidRPr="002176C2">
        <w:rPr>
          <w:bCs/>
          <w:sz w:val="18"/>
        </w:rPr>
        <w:tab/>
      </w:r>
      <w:r w:rsidRPr="002176C2">
        <w:rPr>
          <w:bCs/>
          <w:sz w:val="18"/>
        </w:rPr>
        <w:tab/>
      </w:r>
      <w:r w:rsidRPr="002176C2">
        <w:rPr>
          <w:bCs/>
          <w:sz w:val="18"/>
        </w:rPr>
        <w:tab/>
      </w:r>
      <w:r w:rsidRPr="002176C2">
        <w:rPr>
          <w:bCs/>
          <w:sz w:val="18"/>
        </w:rPr>
        <w:tab/>
      </w:r>
      <w:r w:rsidRPr="002176C2">
        <w:rPr>
          <w:bCs/>
          <w:sz w:val="18"/>
        </w:rPr>
        <w:tab/>
      </w:r>
      <w:r w:rsidR="00774839" w:rsidRPr="002176C2">
        <w:rPr>
          <w:bCs/>
          <w:sz w:val="18"/>
        </w:rPr>
        <w:tab/>
        <w:t xml:space="preserve">               </w:t>
      </w:r>
      <w:r w:rsidR="00B95920">
        <w:rPr>
          <w:bCs/>
          <w:sz w:val="18"/>
        </w:rPr>
        <w:t xml:space="preserve">           </w:t>
      </w:r>
      <w:r w:rsidR="009F573B">
        <w:rPr>
          <w:bCs/>
          <w:sz w:val="18"/>
        </w:rPr>
        <w:t xml:space="preserve">            </w:t>
      </w:r>
      <w:r w:rsidR="0040202A">
        <w:rPr>
          <w:bCs/>
          <w:sz w:val="16"/>
          <w:szCs w:val="16"/>
        </w:rPr>
        <w:t xml:space="preserve">JOAN LEE, </w:t>
      </w:r>
      <w:r w:rsidR="009F573B">
        <w:rPr>
          <w:bCs/>
          <w:sz w:val="16"/>
          <w:szCs w:val="16"/>
        </w:rPr>
        <w:t>Chair</w:t>
      </w:r>
      <w:r w:rsidR="00595775">
        <w:rPr>
          <w:bCs/>
          <w:sz w:val="16"/>
          <w:szCs w:val="16"/>
        </w:rPr>
        <w:t xml:space="preserve">, </w:t>
      </w:r>
      <w:r w:rsidR="0040202A">
        <w:rPr>
          <w:bCs/>
          <w:sz w:val="16"/>
          <w:szCs w:val="16"/>
        </w:rPr>
        <w:t>McIntosh</w:t>
      </w:r>
    </w:p>
    <w:p w:rsidR="007930AD" w:rsidRPr="002176C2" w:rsidRDefault="007930AD">
      <w:pPr>
        <w:pStyle w:val="Heading2"/>
        <w:rPr>
          <w:b w:val="0"/>
        </w:rPr>
      </w:pPr>
      <w:r w:rsidRPr="002176C2">
        <w:rPr>
          <w:b w:val="0"/>
        </w:rPr>
        <w:t>Fax:</w:t>
      </w:r>
      <w:r w:rsidR="00B95920">
        <w:rPr>
          <w:b w:val="0"/>
        </w:rPr>
        <w:t xml:space="preserve">  (218) 281-3808</w:t>
      </w:r>
      <w:r w:rsidR="00B95920">
        <w:rPr>
          <w:b w:val="0"/>
        </w:rPr>
        <w:tab/>
      </w:r>
      <w:r w:rsidR="00B95920">
        <w:rPr>
          <w:b w:val="0"/>
        </w:rPr>
        <w:tab/>
      </w:r>
      <w:r w:rsidR="00B95920">
        <w:rPr>
          <w:b w:val="0"/>
        </w:rPr>
        <w:tab/>
      </w:r>
      <w:r w:rsidR="00B95920">
        <w:rPr>
          <w:b w:val="0"/>
        </w:rPr>
        <w:tab/>
      </w:r>
      <w:r w:rsidR="00B95920">
        <w:rPr>
          <w:b w:val="0"/>
        </w:rPr>
        <w:tab/>
      </w:r>
      <w:r w:rsidR="00B95920">
        <w:rPr>
          <w:b w:val="0"/>
        </w:rPr>
        <w:tab/>
      </w:r>
      <w:r w:rsidR="00B95920">
        <w:rPr>
          <w:b w:val="0"/>
        </w:rPr>
        <w:tab/>
      </w:r>
      <w:r w:rsidR="00B95920">
        <w:rPr>
          <w:b w:val="0"/>
        </w:rPr>
        <w:tab/>
      </w:r>
      <w:r w:rsidR="00B95920">
        <w:rPr>
          <w:b w:val="0"/>
        </w:rPr>
        <w:tab/>
        <w:t xml:space="preserve">        </w:t>
      </w:r>
      <w:r w:rsidR="00595775">
        <w:rPr>
          <w:b w:val="0"/>
        </w:rPr>
        <w:t xml:space="preserve"> </w:t>
      </w:r>
      <w:r w:rsidR="00B95920">
        <w:rPr>
          <w:b w:val="0"/>
        </w:rPr>
        <w:t xml:space="preserve">  </w:t>
      </w:r>
      <w:r w:rsidR="009F573B">
        <w:rPr>
          <w:b w:val="0"/>
        </w:rPr>
        <w:t xml:space="preserve">            </w:t>
      </w:r>
      <w:r w:rsidR="00B95920">
        <w:rPr>
          <w:b w:val="0"/>
        </w:rPr>
        <w:t xml:space="preserve">  </w:t>
      </w:r>
      <w:r w:rsidR="009F573B">
        <w:rPr>
          <w:b w:val="0"/>
          <w:bCs w:val="0"/>
          <w:sz w:val="16"/>
          <w:szCs w:val="16"/>
        </w:rPr>
        <w:t>DON DIEDRICH,</w:t>
      </w:r>
      <w:r w:rsidR="00B95920">
        <w:rPr>
          <w:b w:val="0"/>
          <w:bCs w:val="0"/>
          <w:sz w:val="16"/>
          <w:szCs w:val="16"/>
        </w:rPr>
        <w:t xml:space="preserve"> </w:t>
      </w:r>
      <w:r w:rsidR="0040202A">
        <w:rPr>
          <w:b w:val="0"/>
          <w:bCs w:val="0"/>
          <w:sz w:val="16"/>
          <w:szCs w:val="16"/>
        </w:rPr>
        <w:t>Warren</w:t>
      </w:r>
    </w:p>
    <w:p w:rsidR="007930AD" w:rsidRDefault="00076130">
      <w:pPr>
        <w:pStyle w:val="Heading2"/>
        <w:rPr>
          <w:b w:val="0"/>
          <w:bCs w:val="0"/>
          <w:sz w:val="14"/>
          <w:szCs w:val="14"/>
        </w:rPr>
      </w:pPr>
      <w:r w:rsidRPr="002176C2">
        <w:rPr>
          <w:b w:val="0"/>
        </w:rPr>
        <w:t>www.co.polk.mn.us</w:t>
      </w:r>
      <w:r w:rsidR="007930AD">
        <w:tab/>
      </w:r>
      <w:r w:rsidR="007930AD">
        <w:tab/>
      </w:r>
      <w:r w:rsidR="007930AD">
        <w:tab/>
      </w:r>
      <w:r w:rsidR="007930AD">
        <w:tab/>
      </w:r>
      <w:r w:rsidR="007930AD">
        <w:tab/>
      </w:r>
      <w:r w:rsidR="007930AD">
        <w:tab/>
      </w:r>
      <w:r w:rsidR="007930AD">
        <w:tab/>
      </w:r>
      <w:r w:rsidR="007930AD">
        <w:tab/>
      </w:r>
      <w:r w:rsidR="007930AD">
        <w:tab/>
      </w:r>
      <w:r w:rsidR="007930AD">
        <w:tab/>
      </w:r>
      <w:r w:rsidR="00774839">
        <w:t xml:space="preserve">   </w:t>
      </w:r>
    </w:p>
    <w:p w:rsidR="007930AD" w:rsidRPr="00882AD3" w:rsidRDefault="007930AD">
      <w:pPr>
        <w:rPr>
          <w:b/>
          <w:bCs/>
          <w:sz w:val="16"/>
          <w:szCs w:val="16"/>
        </w:rPr>
      </w:pP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sidR="00774839">
        <w:rPr>
          <w:b/>
          <w:bCs/>
          <w:sz w:val="18"/>
        </w:rPr>
        <w:t>C</w:t>
      </w:r>
      <w:r w:rsidRPr="00882AD3">
        <w:rPr>
          <w:b/>
          <w:bCs/>
          <w:sz w:val="16"/>
          <w:szCs w:val="16"/>
        </w:rPr>
        <w:t xml:space="preserve">OUNTY </w:t>
      </w:r>
      <w:r w:rsidR="002176C2">
        <w:rPr>
          <w:b/>
          <w:bCs/>
          <w:sz w:val="16"/>
          <w:szCs w:val="16"/>
        </w:rPr>
        <w:t>ADMINISTRATOR</w:t>
      </w:r>
    </w:p>
    <w:p w:rsidR="007930AD" w:rsidRPr="00882AD3" w:rsidRDefault="007930AD">
      <w:pPr>
        <w:rPr>
          <w:bCs/>
          <w:sz w:val="16"/>
          <w:szCs w:val="16"/>
        </w:rPr>
      </w:pP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t xml:space="preserve">            </w:t>
      </w:r>
      <w:r w:rsidR="00882AD3">
        <w:rPr>
          <w:b/>
          <w:bCs/>
          <w:sz w:val="18"/>
        </w:rPr>
        <w:t xml:space="preserve">   </w:t>
      </w:r>
      <w:r w:rsidR="00D146C8">
        <w:rPr>
          <w:b/>
          <w:bCs/>
          <w:sz w:val="18"/>
        </w:rPr>
        <w:t xml:space="preserve">     </w:t>
      </w:r>
      <w:r w:rsidR="00882AD3">
        <w:rPr>
          <w:b/>
          <w:bCs/>
          <w:sz w:val="18"/>
        </w:rPr>
        <w:t xml:space="preserve"> </w:t>
      </w:r>
      <w:r w:rsidR="00F20A4A">
        <w:rPr>
          <w:bCs/>
          <w:sz w:val="18"/>
        </w:rPr>
        <w:t>CHARLES S. WHITING</w:t>
      </w:r>
    </w:p>
    <w:p w:rsidR="007930AD" w:rsidRDefault="007930AD">
      <w:pPr>
        <w:rPr>
          <w:b/>
          <w:bCs/>
          <w:sz w:val="18"/>
        </w:rPr>
      </w:pPr>
    </w:p>
    <w:p w:rsidR="00190D84" w:rsidRDefault="00B01FFB">
      <w:r>
        <w:t xml:space="preserve">February </w:t>
      </w:r>
      <w:r w:rsidR="009934DA">
        <w:t>8</w:t>
      </w:r>
      <w:r>
        <w:t>, 2019</w:t>
      </w:r>
    </w:p>
    <w:p w:rsidR="00B01FFB" w:rsidRDefault="00B01FFB"/>
    <w:p w:rsidR="00B01FFB" w:rsidRDefault="00B01FFB"/>
    <w:p w:rsidR="00B01FFB" w:rsidRDefault="00B01FFB">
      <w:r>
        <w:t>Rep. Diane Loeffler, Chair</w:t>
      </w:r>
    </w:p>
    <w:p w:rsidR="00B01FFB" w:rsidRDefault="00B01FFB">
      <w:r>
        <w:t>Rep. Samantha Vang, Vice Chair</w:t>
      </w:r>
    </w:p>
    <w:p w:rsidR="00B01FFB" w:rsidRDefault="00B01FFB">
      <w:r>
        <w:t>Property and Local Tax Division Committee</w:t>
      </w:r>
    </w:p>
    <w:p w:rsidR="00B01FFB" w:rsidRDefault="00B01FFB">
      <w:r>
        <w:t>Minnesota House of Representatives</w:t>
      </w:r>
    </w:p>
    <w:p w:rsidR="00B01FFB" w:rsidRDefault="00B01FFB">
      <w:r>
        <w:t>553 Rev. Dr. Martin Luther King, Jr. Blvd.</w:t>
      </w:r>
    </w:p>
    <w:p w:rsidR="00B01FFB" w:rsidRDefault="00B01FFB">
      <w:r>
        <w:t>St. Paul, MN 55155</w:t>
      </w:r>
    </w:p>
    <w:p w:rsidR="00B01FFB" w:rsidRDefault="00B01FFB"/>
    <w:p w:rsidR="00B01FFB" w:rsidRDefault="00B01FFB"/>
    <w:p w:rsidR="00B01FFB" w:rsidRDefault="00B01FFB">
      <w:r>
        <w:t>Re: Support for H.F. No. 424</w:t>
      </w:r>
    </w:p>
    <w:p w:rsidR="00B01FFB" w:rsidRDefault="00B01FFB"/>
    <w:p w:rsidR="00B01FFB" w:rsidRDefault="00B01FFB"/>
    <w:p w:rsidR="00B01FFB" w:rsidRDefault="00B01FFB">
      <w:r>
        <w:t>Md. Chair, Md. Vice-Chair and Members of the Committee:</w:t>
      </w:r>
    </w:p>
    <w:p w:rsidR="00190D84" w:rsidRDefault="00190D84"/>
    <w:p w:rsidR="00344A92" w:rsidRDefault="00B01FFB">
      <w:r>
        <w:t>Thank you for considering H.F. 424, a bill authorizing the state to be responsible for property tax refunds in cases of court judgments where the Department of Revenue has determined property valuation, not counties.  In 2013 my county, Polk County was notified by the Department of R</w:t>
      </w:r>
      <w:r w:rsidR="009934DA">
        <w:t>evenue that Enbridge Energy, EELP</w:t>
      </w:r>
      <w:r>
        <w:t>. had appealed its valuation as determined by DOR</w:t>
      </w:r>
      <w:r w:rsidR="00F75ECA">
        <w:t>.  While little information accompanied this notice, it was a concern to the County since the property values contested were 1% of Polk County’s total valuation, making Enbridge our largest property tax payer.  With no additional information from DOR, no input or feedback on what was being contested, and importantly no role whatsoever in determining the property valuation in the first place, we simply waited until the County’s risk for a refund would be determined.</w:t>
      </w:r>
    </w:p>
    <w:p w:rsidR="00F75ECA" w:rsidRDefault="00F75ECA"/>
    <w:p w:rsidR="00F75ECA" w:rsidRDefault="00F75ECA">
      <w:r>
        <w:t xml:space="preserve">In December of </w:t>
      </w:r>
      <w:r w:rsidR="00795916">
        <w:t>2015,</w:t>
      </w:r>
      <w:r>
        <w:t xml:space="preserve"> representatives from Enbridge asked to meet with Polk County representatives and those from our surrounding counties.  They told us they were seeking valuation changes that would amount to $1.8 million of property tax refunds</w:t>
      </w:r>
      <w:r w:rsidR="000C74A8">
        <w:t xml:space="preserve"> from Polk County</w:t>
      </w:r>
      <w:r>
        <w:t xml:space="preserve"> for the years 2012-14, taxes collected in years 2013-15.  Our neighboring counties, Red Lake and Clearwater were told much higher</w:t>
      </w:r>
      <w:r w:rsidR="000C74A8">
        <w:t xml:space="preserve"> refund</w:t>
      </w:r>
      <w:r>
        <w:t xml:space="preserve"> amounts.  My county’s leadership quickly realized this was a serious matter for our property tax paying residents.  Not long after</w:t>
      </w:r>
      <w:r w:rsidR="000C74A8">
        <w:t>,</w:t>
      </w:r>
      <w:r>
        <w:t xml:space="preserve"> we were notified that succeeding years’ valuations were being appealed by Enbridge as well, obviously adding</w:t>
      </w:r>
      <w:r w:rsidR="000C74A8">
        <w:t xml:space="preserve"> to</w:t>
      </w:r>
      <w:r>
        <w:t xml:space="preserve"> the </w:t>
      </w:r>
      <w:r w:rsidR="00BB7D7C">
        <w:t xml:space="preserve">total </w:t>
      </w:r>
      <w:r>
        <w:t>possible refund amount Enbridge was seeking.  Last year, the tax</w:t>
      </w:r>
      <w:r w:rsidR="0094329C">
        <w:t xml:space="preserve"> court</w:t>
      </w:r>
      <w:r>
        <w:t xml:space="preserve"> ruled values for the original </w:t>
      </w:r>
      <w:r>
        <w:lastRenderedPageBreak/>
        <w:t>three years contested were indeed off, an</w:t>
      </w:r>
      <w:r w:rsidR="0094329C">
        <w:t>d significantly, very close to</w:t>
      </w:r>
      <w:r>
        <w:t xml:space="preserve"> what we could determine was </w:t>
      </w:r>
      <w:r w:rsidR="0094329C">
        <w:t>Enbridge’s position on their valuation (see attached – 6/6/2018) for the</w:t>
      </w:r>
      <w:r w:rsidR="00BB7D7C">
        <w:t>ir</w:t>
      </w:r>
      <w:r w:rsidR="0094329C">
        <w:t xml:space="preserve"> property v</w:t>
      </w:r>
      <w:r w:rsidR="00BB7D7C">
        <w:t xml:space="preserve">alues </w:t>
      </w:r>
      <w:r w:rsidR="0094329C">
        <w:t xml:space="preserve">across the northern counties of the state.  </w:t>
      </w:r>
      <w:r w:rsidR="00BE660C">
        <w:t>I ask the Committee members to note the exponential growth in the disparity between the Court’s values and DOR’s values for the thirteen counties that Enbridge has properties covered under this initial appeal.</w:t>
      </w:r>
      <w:r w:rsidR="00EF3832">
        <w:t xml:space="preserve">  Enbridge has appealed valuations for the years since 2014 as well, and one has to presume that the difference in total values will have continued to widen.</w:t>
      </w:r>
    </w:p>
    <w:p w:rsidR="00EF3832" w:rsidRDefault="00EF3832"/>
    <w:p w:rsidR="00A22E76" w:rsidRDefault="00EF3832">
      <w:r w:rsidRPr="00E50065">
        <w:rPr>
          <w:b/>
        </w:rPr>
        <w:t>To be as frank as possible with the Committee, the scale of this issue is nearing proportions where I believe it is possible to threaten the fiscal viability of several small counties, and inflict severe strain on a county like Polk.</w:t>
      </w:r>
      <w:r>
        <w:t xml:space="preserve">  Again, Enbridge’s valuation is approximately 1% of Polk County’s total valuation.  It is much higher for our neighboring counties.  If Polk County is facing a potential refund for years 2012-14 of $1.8 million, and could easily assume the widening spread of values will increase in upcoming Tax Court rulings for 2015-18 </w:t>
      </w:r>
      <w:r w:rsidR="00A22E76">
        <w:t>doubling the</w:t>
      </w:r>
      <w:r>
        <w:t xml:space="preserve"> amount to a future refund, </w:t>
      </w:r>
      <w:r w:rsidR="00A22E76">
        <w:t xml:space="preserve">think what that means for our surrounding counties where Enbridge is a much higher percentage of their total and lessor valuation. </w:t>
      </w:r>
    </w:p>
    <w:p w:rsidR="001F7124" w:rsidRDefault="001F7124"/>
    <w:p w:rsidR="000A0532" w:rsidRDefault="001F7124">
      <w:r>
        <w:t xml:space="preserve">I would like </w:t>
      </w:r>
      <w:r w:rsidR="000A0532">
        <w:t>to add a few</w:t>
      </w:r>
      <w:r>
        <w:t xml:space="preserve"> of additional points. First, it has been said that cou</w:t>
      </w:r>
      <w:r w:rsidR="00795916">
        <w:t>nties benefit from the new valuation</w:t>
      </w:r>
      <w:r>
        <w:t xml:space="preserve"> pipelines, railroads and similar DOR valued properties bring to our tax base.  This is true.  Please keep in mind that the value is added to the tax base, while property tax levies are applied against that base.  Counties, cities and townships simply </w:t>
      </w:r>
      <w:r w:rsidR="003F5363" w:rsidRPr="00E50065">
        <w:rPr>
          <w:b/>
          <w:i/>
          <w:u w:val="single"/>
        </w:rPr>
        <w:t>do not</w:t>
      </w:r>
      <w:r w:rsidRPr="00E50065">
        <w:rPr>
          <w:b/>
          <w:i/>
          <w:u w:val="single"/>
        </w:rPr>
        <w:t xml:space="preserve"> get additional revenue</w:t>
      </w:r>
      <w:r>
        <w:t xml:space="preserve"> because of tax base increase, but they may be able to increase levies and keep the tax </w:t>
      </w:r>
      <w:r w:rsidRPr="001F7124">
        <w:rPr>
          <w:b/>
          <w:i/>
          <w:u w:val="single"/>
        </w:rPr>
        <w:t>rate</w:t>
      </w:r>
      <w:r w:rsidR="000A0532">
        <w:t xml:space="preserve"> from increasing.  </w:t>
      </w:r>
    </w:p>
    <w:p w:rsidR="000A0532" w:rsidRDefault="000A0532"/>
    <w:p w:rsidR="001F7124" w:rsidRDefault="000A0532">
      <w:r>
        <w:t xml:space="preserve">Second, it is the scale of the Enbridge valuation appeal and the compounding nature of each additional year that is elevating this issue to a possible crisis level. </w:t>
      </w:r>
      <w:r w:rsidR="00BB7D7C">
        <w:t xml:space="preserve"> The time needed to reach a decision by the tax court and now the Supreme Court means counties face refund taxes that were collected as long as six years ago.  </w:t>
      </w:r>
      <w:r>
        <w:t>There is not a reasonable way to defer over time or in some payment schedule, as sometime</w:t>
      </w:r>
      <w:r w:rsidR="003B7594">
        <w:t>s</w:t>
      </w:r>
      <w:r>
        <w:t xml:space="preserve"> Enbridge offers, a way to minimize the amount owed.  Past refunds typically include interest added to the amount</w:t>
      </w:r>
      <w:r w:rsidR="003B7594">
        <w:t xml:space="preserve"> as well.  </w:t>
      </w:r>
      <w:r w:rsidR="00BB7D7C">
        <w:t xml:space="preserve">Polk has found it necessary to disclose the scale of the potential refund during bond rating calls.  </w:t>
      </w:r>
      <w:r w:rsidR="003F04A3">
        <w:t xml:space="preserve">Polk County </w:t>
      </w:r>
      <w:r w:rsidR="00BB7D7C">
        <w:t>Commissioners have debated whether to levy more in property taxes</w:t>
      </w:r>
      <w:r w:rsidR="003F04A3">
        <w:t xml:space="preserve"> </w:t>
      </w:r>
      <w:r w:rsidR="003F5363">
        <w:t xml:space="preserve">in </w:t>
      </w:r>
      <w:r w:rsidR="003F04A3">
        <w:t>anticipati</w:t>
      </w:r>
      <w:r w:rsidR="003F5363">
        <w:t>on of</w:t>
      </w:r>
      <w:r w:rsidR="003F04A3">
        <w:t xml:space="preserve"> an unfavorable tax court decision, ultimately choosing not to due to the unknowns of a final court determination and because a higher levy just adds to the refund amount.</w:t>
      </w:r>
    </w:p>
    <w:p w:rsidR="003B7594" w:rsidRDefault="003B7594"/>
    <w:p w:rsidR="003B7594" w:rsidRDefault="003F5363">
      <w:r>
        <w:t>Third</w:t>
      </w:r>
      <w:r w:rsidR="00E50065">
        <w:t>, is the impact this case is having on actual budgeting</w:t>
      </w:r>
      <w:r w:rsidR="003B7594">
        <w:t xml:space="preserve">.  Each county each year sends out its truth-in-taxation statements and holds budget hearing prior to adopting the next year’s budget.  Because of the size of the likely tax refund we are facing, there is no way I can justify at these meetings </w:t>
      </w:r>
      <w:r w:rsidR="00B74FA0">
        <w:t>t</w:t>
      </w:r>
      <w:r w:rsidR="003B7594">
        <w:t xml:space="preserve">hat a fully truthful picture of the budget, the tax rate and use of fund balances is truly accurate.  </w:t>
      </w:r>
      <w:r w:rsidR="003F04A3">
        <w:t xml:space="preserve">A property tax refund on the scale that appears to be coming cannot be managed like a bad insurance claim.  Use of fund balance, higher taxes or even bonding may be necessary depending on the terms of the court settlement. </w:t>
      </w:r>
      <w:r w:rsidR="003B7594">
        <w:t xml:space="preserve"> Polk County’s levy for 2019 is just over $23 million, all of which is for county operations</w:t>
      </w:r>
      <w:r w:rsidR="00B74FA0">
        <w:t xml:space="preserve"> and existing debt</w:t>
      </w:r>
      <w:r w:rsidR="003B7594">
        <w:t>.</w:t>
      </w:r>
      <w:r w:rsidR="00B74FA0">
        <w:t xml:space="preserve">  Our levy increased $741,256 over 2018, an increase of 3.253%</w:t>
      </w:r>
      <w:r w:rsidR="003B7594">
        <w:t xml:space="preserve">  To come up with $1</w:t>
      </w:r>
      <w:r w:rsidR="00B74FA0">
        <w:t>,</w:t>
      </w:r>
      <w:r w:rsidR="003B7594">
        <w:t>8</w:t>
      </w:r>
      <w:r w:rsidR="00B74FA0">
        <w:t>00,000 for taxes collected in 2013-15</w:t>
      </w:r>
      <w:r w:rsidR="003B7594">
        <w:t xml:space="preserve">, or more if additional years are added </w:t>
      </w:r>
      <w:r w:rsidR="003F04A3">
        <w:t>will mean going to reserves, which at the end of 2018 was $8,</w:t>
      </w:r>
      <w:r w:rsidR="008D28E2">
        <w:t>220,143</w:t>
      </w:r>
      <w:r w:rsidR="00B74FA0">
        <w:t xml:space="preserve"> or possibly borrowing. F</w:t>
      </w:r>
      <w:r w:rsidR="008D28E2">
        <w:t>or additional</w:t>
      </w:r>
      <w:r w:rsidR="00F054EC">
        <w:t xml:space="preserve"> context, our 2019 County Pr</w:t>
      </w:r>
      <w:r w:rsidR="00B74FA0">
        <w:t xml:space="preserve">ogram Aid is budgeted to be </w:t>
      </w:r>
      <w:r w:rsidR="008D28E2">
        <w:t>$1,096,702</w:t>
      </w:r>
      <w:r w:rsidR="00F054EC">
        <w:t>.</w:t>
      </w:r>
    </w:p>
    <w:p w:rsidR="00F054EC" w:rsidRDefault="00F054EC"/>
    <w:p w:rsidR="00755296" w:rsidRDefault="00F054EC">
      <w:r>
        <w:t>Enbridge has provided us with most of the information about their valuations and anticipated re</w:t>
      </w:r>
      <w:r w:rsidR="00B74FA0">
        <w:t>funds. They have</w:t>
      </w:r>
      <w:r>
        <w:t xml:space="preserve"> demons</w:t>
      </w:r>
      <w:r w:rsidR="003F5363">
        <w:t xml:space="preserve">trated empathy and </w:t>
      </w:r>
      <w:r>
        <w:t>willingness to wo</w:t>
      </w:r>
      <w:r w:rsidR="009934DA">
        <w:t>rk in several ways</w:t>
      </w:r>
      <w:r>
        <w:t xml:space="preserve"> </w:t>
      </w:r>
      <w:r w:rsidR="003F5363">
        <w:t>in anticipation of</w:t>
      </w:r>
      <w:r>
        <w:t xml:space="preserve"> this outcome</w:t>
      </w:r>
      <w:r w:rsidR="003F5363">
        <w:t>. However,</w:t>
      </w:r>
      <w:r>
        <w:t xml:space="preserve"> it appear</w:t>
      </w:r>
      <w:r w:rsidR="003F5363">
        <w:t>s to</w:t>
      </w:r>
      <w:r>
        <w:t xml:space="preserve"> be up to the Court to determine how Enbridge is made whole.  That is why the appeal to you as legislators is being made.  </w:t>
      </w:r>
      <w:r w:rsidR="008D28E2">
        <w:t xml:space="preserve">I understand as of my writing of this letter, that a Court settlement </w:t>
      </w:r>
      <w:r w:rsidR="00B74FA0">
        <w:t xml:space="preserve">may </w:t>
      </w:r>
      <w:r w:rsidR="008D28E2">
        <w:t>ha</w:t>
      </w:r>
      <w:r w:rsidR="00B74FA0">
        <w:t>ve</w:t>
      </w:r>
      <w:r w:rsidR="008D28E2">
        <w:t xml:space="preserve"> been determined, but I do not have the details how Polk County is affected. </w:t>
      </w:r>
      <w:r>
        <w:t>Polk County does not contest Enbridge’s right to appeal their valuation, but we do need the Legislature to understand what the scale of this appeal means</w:t>
      </w:r>
      <w:r w:rsidR="00E50065">
        <w:t xml:space="preserve">. </w:t>
      </w:r>
    </w:p>
    <w:p w:rsidR="00E50065" w:rsidRDefault="00E50065"/>
    <w:p w:rsidR="00755296" w:rsidRDefault="00755296">
      <w:r>
        <w:lastRenderedPageBreak/>
        <w:t xml:space="preserve">On behalf of the Polk County Board of Commissioners, I respectfully ask the Committee to consider </w:t>
      </w:r>
      <w:r w:rsidR="00E50065">
        <w:t xml:space="preserve">the impacts to local governments and taxpayers and support </w:t>
      </w:r>
      <w:r>
        <w:t>H.F. 424.</w:t>
      </w:r>
    </w:p>
    <w:p w:rsidR="00755296" w:rsidRDefault="00755296"/>
    <w:p w:rsidR="00755296" w:rsidRDefault="00755296">
      <w:r>
        <w:t>Sincerely,</w:t>
      </w:r>
    </w:p>
    <w:p w:rsidR="00755296" w:rsidRDefault="00755296"/>
    <w:p w:rsidR="00755296" w:rsidRDefault="00755296"/>
    <w:p w:rsidR="00755296" w:rsidRDefault="00755296"/>
    <w:p w:rsidR="00755296" w:rsidRDefault="00755296">
      <w:r>
        <w:t>Chuck Whiting</w:t>
      </w:r>
    </w:p>
    <w:p w:rsidR="00755296" w:rsidRPr="001F7124" w:rsidRDefault="00755296">
      <w:r>
        <w:t>Polk County Administrator</w:t>
      </w:r>
    </w:p>
    <w:p w:rsidR="00B93EC2" w:rsidRDefault="00B93EC2"/>
    <w:p w:rsidR="00B93EC2" w:rsidRDefault="00B93EC2"/>
    <w:p w:rsidR="00B93EC2" w:rsidRDefault="00087A51">
      <w:r>
        <w:t>Cc:  Polk County Board of Commissioner</w:t>
      </w:r>
    </w:p>
    <w:p w:rsidR="00087A51" w:rsidRDefault="00087A51">
      <w:r>
        <w:t xml:space="preserve">       Association of Minnesota Counties</w:t>
      </w:r>
    </w:p>
    <w:p w:rsidR="00087A51" w:rsidRDefault="009934DA">
      <w:r>
        <w:t xml:space="preserve">       </w:t>
      </w:r>
    </w:p>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B93EC2" w:rsidRDefault="00B93EC2"/>
    <w:p w:rsidR="007930AD" w:rsidRDefault="007930AD" w:rsidP="00190D84">
      <w:pPr>
        <w:jc w:val="center"/>
      </w:pPr>
      <w:r>
        <w:rPr>
          <w:i/>
          <w:iCs/>
          <w:sz w:val="18"/>
        </w:rPr>
        <w:t>*An Equal Opportunity Employer*</w:t>
      </w:r>
    </w:p>
    <w:sectPr w:rsidR="007930AD">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9FA" w:rsidRDefault="00A959FA" w:rsidP="004D3BE9">
      <w:r>
        <w:separator/>
      </w:r>
    </w:p>
  </w:endnote>
  <w:endnote w:type="continuationSeparator" w:id="0">
    <w:p w:rsidR="00A959FA" w:rsidRDefault="00A959FA" w:rsidP="004D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E9" w:rsidRDefault="004D3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E9" w:rsidRDefault="004D3B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E9" w:rsidRDefault="004D3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9FA" w:rsidRDefault="00A959FA" w:rsidP="004D3BE9">
      <w:r>
        <w:separator/>
      </w:r>
    </w:p>
  </w:footnote>
  <w:footnote w:type="continuationSeparator" w:id="0">
    <w:p w:rsidR="00A959FA" w:rsidRDefault="00A959FA" w:rsidP="004D3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E9" w:rsidRDefault="004D3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E9" w:rsidRDefault="004D3B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E9" w:rsidRDefault="004D3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FB"/>
    <w:rsid w:val="00076130"/>
    <w:rsid w:val="000830A8"/>
    <w:rsid w:val="00087A51"/>
    <w:rsid w:val="000A0532"/>
    <w:rsid w:val="000C74A8"/>
    <w:rsid w:val="000D676A"/>
    <w:rsid w:val="000E245D"/>
    <w:rsid w:val="00141EAB"/>
    <w:rsid w:val="00190D84"/>
    <w:rsid w:val="001B3FBC"/>
    <w:rsid w:val="001E4317"/>
    <w:rsid w:val="001F7124"/>
    <w:rsid w:val="002176C2"/>
    <w:rsid w:val="0024305A"/>
    <w:rsid w:val="00266E70"/>
    <w:rsid w:val="002E4791"/>
    <w:rsid w:val="00344A92"/>
    <w:rsid w:val="003B7594"/>
    <w:rsid w:val="003F04A3"/>
    <w:rsid w:val="003F5363"/>
    <w:rsid w:val="0040202A"/>
    <w:rsid w:val="00443BB9"/>
    <w:rsid w:val="004805BE"/>
    <w:rsid w:val="004D3BE9"/>
    <w:rsid w:val="005444F3"/>
    <w:rsid w:val="005611AC"/>
    <w:rsid w:val="00574A03"/>
    <w:rsid w:val="0059184C"/>
    <w:rsid w:val="00595775"/>
    <w:rsid w:val="0060676B"/>
    <w:rsid w:val="006B7EBF"/>
    <w:rsid w:val="006D741A"/>
    <w:rsid w:val="006F6E67"/>
    <w:rsid w:val="007544F5"/>
    <w:rsid w:val="00755296"/>
    <w:rsid w:val="00774839"/>
    <w:rsid w:val="007930AD"/>
    <w:rsid w:val="00795916"/>
    <w:rsid w:val="008324FD"/>
    <w:rsid w:val="00882AD3"/>
    <w:rsid w:val="008D28E2"/>
    <w:rsid w:val="0094329C"/>
    <w:rsid w:val="00953028"/>
    <w:rsid w:val="009934DA"/>
    <w:rsid w:val="009E6062"/>
    <w:rsid w:val="009F573B"/>
    <w:rsid w:val="00A22E76"/>
    <w:rsid w:val="00A6284D"/>
    <w:rsid w:val="00A959FA"/>
    <w:rsid w:val="00B01FFB"/>
    <w:rsid w:val="00B628FE"/>
    <w:rsid w:val="00B70AD0"/>
    <w:rsid w:val="00B74FA0"/>
    <w:rsid w:val="00B92244"/>
    <w:rsid w:val="00B93EC2"/>
    <w:rsid w:val="00B95920"/>
    <w:rsid w:val="00BB7D7C"/>
    <w:rsid w:val="00BE660C"/>
    <w:rsid w:val="00C043AC"/>
    <w:rsid w:val="00CB0B76"/>
    <w:rsid w:val="00CE6EDB"/>
    <w:rsid w:val="00D146C8"/>
    <w:rsid w:val="00D416C7"/>
    <w:rsid w:val="00D62883"/>
    <w:rsid w:val="00E32225"/>
    <w:rsid w:val="00E50065"/>
    <w:rsid w:val="00EF3832"/>
    <w:rsid w:val="00F054EC"/>
    <w:rsid w:val="00F16428"/>
    <w:rsid w:val="00F20A4A"/>
    <w:rsid w:val="00F7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6E4E16-1DAD-4075-A811-4AB3A0B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BalloonText">
    <w:name w:val="Balloon Text"/>
    <w:basedOn w:val="Normal"/>
    <w:link w:val="BalloonTextChar"/>
    <w:rsid w:val="00266E70"/>
    <w:rPr>
      <w:rFonts w:ascii="Tahoma" w:hAnsi="Tahoma" w:cs="Tahoma"/>
      <w:sz w:val="16"/>
      <w:szCs w:val="16"/>
    </w:rPr>
  </w:style>
  <w:style w:type="character" w:customStyle="1" w:styleId="BalloonTextChar">
    <w:name w:val="Balloon Text Char"/>
    <w:link w:val="BalloonText"/>
    <w:rsid w:val="00266E70"/>
    <w:rPr>
      <w:rFonts w:ascii="Tahoma" w:hAnsi="Tahoma" w:cs="Tahoma"/>
      <w:sz w:val="16"/>
      <w:szCs w:val="16"/>
    </w:rPr>
  </w:style>
  <w:style w:type="character" w:styleId="Hyperlink">
    <w:name w:val="Hyperlink"/>
    <w:uiPriority w:val="99"/>
    <w:unhideWhenUsed/>
    <w:rsid w:val="00D62883"/>
    <w:rPr>
      <w:color w:val="0000FF"/>
      <w:u w:val="single"/>
    </w:rPr>
  </w:style>
  <w:style w:type="paragraph" w:styleId="Header">
    <w:name w:val="header"/>
    <w:basedOn w:val="Normal"/>
    <w:link w:val="HeaderChar"/>
    <w:unhideWhenUsed/>
    <w:rsid w:val="004D3BE9"/>
    <w:pPr>
      <w:tabs>
        <w:tab w:val="center" w:pos="4680"/>
        <w:tab w:val="right" w:pos="9360"/>
      </w:tabs>
    </w:pPr>
  </w:style>
  <w:style w:type="character" w:customStyle="1" w:styleId="HeaderChar">
    <w:name w:val="Header Char"/>
    <w:basedOn w:val="DefaultParagraphFont"/>
    <w:link w:val="Header"/>
    <w:rsid w:val="004D3BE9"/>
    <w:rPr>
      <w:sz w:val="24"/>
      <w:szCs w:val="24"/>
    </w:rPr>
  </w:style>
  <w:style w:type="paragraph" w:styleId="Footer">
    <w:name w:val="footer"/>
    <w:basedOn w:val="Normal"/>
    <w:link w:val="FooterChar"/>
    <w:unhideWhenUsed/>
    <w:rsid w:val="004D3BE9"/>
    <w:pPr>
      <w:tabs>
        <w:tab w:val="center" w:pos="4680"/>
        <w:tab w:val="right" w:pos="9360"/>
      </w:tabs>
    </w:pPr>
  </w:style>
  <w:style w:type="character" w:customStyle="1" w:styleId="FooterChar">
    <w:name w:val="Footer Char"/>
    <w:basedOn w:val="DefaultParagraphFont"/>
    <w:link w:val="Footer"/>
    <w:rsid w:val="004D3B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244105">
      <w:bodyDiv w:val="1"/>
      <w:marLeft w:val="0"/>
      <w:marRight w:val="0"/>
      <w:marTop w:val="0"/>
      <w:marBottom w:val="0"/>
      <w:divBdr>
        <w:top w:val="none" w:sz="0" w:space="0" w:color="auto"/>
        <w:left w:val="none" w:sz="0" w:space="0" w:color="auto"/>
        <w:bottom w:val="none" w:sz="0" w:space="0" w:color="auto"/>
        <w:right w:val="none" w:sz="0" w:space="0" w:color="auto"/>
      </w:divBdr>
    </w:div>
    <w:div w:id="18965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png@01CF57BC.F7377A3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Chuck\Administration\Polk%20County%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Polk County Letterhead</Template>
  <TotalTime>0</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POLK COUNTY SOCIAL SERVICES</vt:lpstr>
    </vt:vector>
  </TitlesOfParts>
  <Company>Polk County</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POLK COUNTY SOCIAL SERVICES</dc:title>
  <dc:creator>Chuck Whiting</dc:creator>
  <cp:lastModifiedBy>DFLUser</cp:lastModifiedBy>
  <cp:revision>2</cp:revision>
  <cp:lastPrinted>2019-02-08T20:29:00Z</cp:lastPrinted>
  <dcterms:created xsi:type="dcterms:W3CDTF">2019-02-12T13:25:00Z</dcterms:created>
  <dcterms:modified xsi:type="dcterms:W3CDTF">2019-02-12T13:25:00Z</dcterms:modified>
</cp:coreProperties>
</file>