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0AEEF4" w14:textId="77777777" w:rsidR="00DB764D" w:rsidRPr="007E2F9D" w:rsidRDefault="00C76DB8" w:rsidP="00121B4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Pr="007E2F9D">
        <w:rPr>
          <w:sz w:val="72"/>
          <w:szCs w:val="72"/>
        </w:rPr>
        <w:t>Legal Rights Center, Inc.</w:t>
      </w:r>
    </w:p>
    <w:p w14:paraId="647DDEAE" w14:textId="77777777" w:rsidR="00DB764D" w:rsidRDefault="00C76DB8" w:rsidP="00121B4F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A LAW FIRM OF AND FOR THE PEOPLE</w:t>
      </w:r>
    </w:p>
    <w:p w14:paraId="378FAF13" w14:textId="26F4A9E1" w:rsidR="00F946F7" w:rsidRDefault="00C76DB8" w:rsidP="00F946F7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20"/>
          <w:szCs w:val="20"/>
        </w:rPr>
        <w:t>1611 Park Avenue South, Minneapolis, Minnesota 55404-1683</w:t>
      </w:r>
    </w:p>
    <w:p w14:paraId="1990C64A" w14:textId="4DD3E966" w:rsidR="00DB764D" w:rsidRDefault="00DB764D" w:rsidP="007E2F9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55ADD4C8" w14:textId="4422980C" w:rsidR="00CF4095" w:rsidRPr="00CF4095" w:rsidRDefault="00CF4095" w:rsidP="00121B4F">
      <w:pPr>
        <w:pBdr>
          <w:top w:val="nil"/>
          <w:left w:val="nil"/>
          <w:bottom w:val="nil"/>
          <w:right w:val="nil"/>
          <w:between w:val="nil"/>
        </w:pBdr>
        <w:ind w:left="-270"/>
        <w:rPr>
          <w:bCs/>
        </w:rPr>
      </w:pPr>
    </w:p>
    <w:p w14:paraId="706EC160" w14:textId="77777777" w:rsidR="00A42DFF" w:rsidRPr="00C41AA8" w:rsidRDefault="00CF4095" w:rsidP="00121B4F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 w:rsidRPr="00C41AA8">
        <w:t>To: Representative Carlos Mariani</w:t>
      </w:r>
    </w:p>
    <w:p w14:paraId="0F38903D" w14:textId="77777777" w:rsidR="00A42DFF" w:rsidRPr="00C41AA8" w:rsidRDefault="00A42DFF" w:rsidP="00121B4F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14:paraId="5A551940" w14:textId="55E375A0" w:rsidR="00A42DFF" w:rsidRDefault="00A42DFF" w:rsidP="00E30950">
      <w:pPr>
        <w:pBdr>
          <w:top w:val="nil"/>
          <w:left w:val="nil"/>
          <w:bottom w:val="nil"/>
          <w:right w:val="nil"/>
          <w:between w:val="nil"/>
        </w:pBdr>
        <w:ind w:left="990" w:hanging="990"/>
      </w:pPr>
      <w:r w:rsidRPr="00C41AA8">
        <w:t xml:space="preserve">From: Michael Friedman, Executive Director </w:t>
      </w:r>
      <w:r w:rsidR="0008136E">
        <w:t xml:space="preserve">of the Legal Rights Center </w:t>
      </w:r>
      <w:r w:rsidRPr="00C41AA8">
        <w:t xml:space="preserve">(and former </w:t>
      </w:r>
      <w:r w:rsidR="00133D9A">
        <w:t xml:space="preserve">Board </w:t>
      </w:r>
      <w:r w:rsidRPr="00C41AA8">
        <w:t xml:space="preserve">Chair of the Minneapolis Civilian </w:t>
      </w:r>
      <w:r w:rsidR="00133D9A">
        <w:t xml:space="preserve">Police </w:t>
      </w:r>
      <w:r w:rsidRPr="00C41AA8">
        <w:t>Review Authority, 2003-2005)</w:t>
      </w:r>
    </w:p>
    <w:p w14:paraId="49EDB6C0" w14:textId="3F88CB00" w:rsidR="002153AB" w:rsidRDefault="002153AB" w:rsidP="00121B4F">
      <w:pPr>
        <w:pBdr>
          <w:top w:val="nil"/>
          <w:left w:val="nil"/>
          <w:bottom w:val="nil"/>
          <w:right w:val="nil"/>
          <w:between w:val="nil"/>
        </w:pBdr>
        <w:ind w:left="720" w:hanging="720"/>
      </w:pPr>
    </w:p>
    <w:p w14:paraId="7DE0A460" w14:textId="20CA6C6A" w:rsidR="002153AB" w:rsidRDefault="002153AB" w:rsidP="00121B4F">
      <w:pPr>
        <w:pBdr>
          <w:top w:val="nil"/>
          <w:left w:val="nil"/>
          <w:bottom w:val="nil"/>
          <w:right w:val="nil"/>
          <w:between w:val="nil"/>
        </w:pBdr>
        <w:ind w:left="720" w:hanging="720"/>
      </w:pPr>
      <w:r>
        <w:t xml:space="preserve">Date: </w:t>
      </w:r>
      <w:r w:rsidR="003E3464">
        <w:t xml:space="preserve">June </w:t>
      </w:r>
      <w:r w:rsidR="00656277">
        <w:t>11, 2020</w:t>
      </w:r>
    </w:p>
    <w:p w14:paraId="10ADF2F5" w14:textId="7C4E4950" w:rsidR="00656277" w:rsidRDefault="00656277" w:rsidP="00121B4F">
      <w:pPr>
        <w:pBdr>
          <w:top w:val="nil"/>
          <w:left w:val="nil"/>
          <w:bottom w:val="nil"/>
          <w:right w:val="nil"/>
          <w:between w:val="nil"/>
        </w:pBdr>
        <w:ind w:left="720" w:hanging="720"/>
      </w:pPr>
    </w:p>
    <w:p w14:paraId="625F77A0" w14:textId="2E2873DA" w:rsidR="00656277" w:rsidRPr="00C41AA8" w:rsidRDefault="00656277" w:rsidP="00121B4F">
      <w:pPr>
        <w:pBdr>
          <w:top w:val="nil"/>
          <w:left w:val="nil"/>
          <w:bottom w:val="nil"/>
          <w:right w:val="nil"/>
          <w:between w:val="nil"/>
        </w:pBdr>
        <w:ind w:left="720" w:hanging="720"/>
      </w:pPr>
      <w:r>
        <w:t xml:space="preserve">Re: Statutory Changes for </w:t>
      </w:r>
      <w:r w:rsidR="00B51913">
        <w:t>special session; police reform</w:t>
      </w:r>
    </w:p>
    <w:p w14:paraId="3208C693" w14:textId="77777777" w:rsidR="00A42DFF" w:rsidRPr="00C41AA8" w:rsidRDefault="00A42DFF" w:rsidP="00121B4F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14:paraId="0C62FC33" w14:textId="77777777" w:rsidR="00C41AA8" w:rsidRPr="00C41AA8" w:rsidRDefault="00C41AA8" w:rsidP="00121B4F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14:paraId="0FE2ECF2" w14:textId="7CFC4346" w:rsidR="00DB764D" w:rsidRDefault="00E30950" w:rsidP="00121B4F">
      <w:pPr>
        <w:pBdr>
          <w:top w:val="nil"/>
          <w:left w:val="nil"/>
          <w:bottom w:val="nil"/>
          <w:right w:val="nil"/>
          <w:between w:val="nil"/>
        </w:pBdr>
      </w:pPr>
      <w:r>
        <w:t>With</w:t>
      </w:r>
      <w:r w:rsidR="00B51913">
        <w:t xml:space="preserve"> ap</w:t>
      </w:r>
      <w:r w:rsidR="00F00853">
        <w:t>ologi</w:t>
      </w:r>
      <w:r>
        <w:t>es</w:t>
      </w:r>
      <w:r w:rsidR="00F00853">
        <w:t xml:space="preserve"> for</w:t>
      </w:r>
      <w:r>
        <w:t xml:space="preserve"> the delay, I’m</w:t>
      </w:r>
      <w:r w:rsidR="00F00853">
        <w:t xml:space="preserve"> writing </w:t>
      </w:r>
      <w:r w:rsidR="00EF6588">
        <w:t>to bring forth</w:t>
      </w:r>
      <w:r w:rsidR="00F00853">
        <w:t xml:space="preserve"> ideas for statutory changes </w:t>
      </w:r>
      <w:r w:rsidR="00EF6588">
        <w:t>aimed at</w:t>
      </w:r>
      <w:r w:rsidR="008C6B48">
        <w:t xml:space="preserve"> improv</w:t>
      </w:r>
      <w:r w:rsidR="00EF6588">
        <w:t>ing</w:t>
      </w:r>
      <w:r w:rsidR="008C6B48">
        <w:t xml:space="preserve"> police accountability and community trust. </w:t>
      </w:r>
    </w:p>
    <w:p w14:paraId="0F7F4325" w14:textId="203F971E" w:rsidR="00174B1D" w:rsidRDefault="00174B1D" w:rsidP="00121B4F">
      <w:pPr>
        <w:pBdr>
          <w:top w:val="nil"/>
          <w:left w:val="nil"/>
          <w:bottom w:val="nil"/>
          <w:right w:val="nil"/>
          <w:between w:val="nil"/>
        </w:pBdr>
      </w:pPr>
    </w:p>
    <w:p w14:paraId="429527F9" w14:textId="52D8E0EB" w:rsidR="00174B1D" w:rsidRDefault="00174B1D" w:rsidP="00121B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In </w:t>
      </w:r>
      <w:r w:rsidR="00AC49B4">
        <w:t>recent days</w:t>
      </w:r>
      <w:r>
        <w:t xml:space="preserve">, I have seen many </w:t>
      </w:r>
      <w:r w:rsidR="00710214">
        <w:t xml:space="preserve">thoughtful and potentially effective suggestions put forward by others, including (but not limited to): Javier Morillo (article in </w:t>
      </w:r>
      <w:r w:rsidR="00710214">
        <w:rPr>
          <w:u w:val="single"/>
        </w:rPr>
        <w:t>The Reformer</w:t>
      </w:r>
      <w:r w:rsidR="00ED5006">
        <w:t>), Communities United Against Police Brutality, Slate</w:t>
      </w:r>
      <w:r w:rsidR="00944EFF">
        <w:t>.com</w:t>
      </w:r>
      <w:r w:rsidR="00866CD4">
        <w:t xml:space="preserve"> (</w:t>
      </w:r>
      <w:r w:rsidR="00944EFF">
        <w:t>Ifill</w:t>
      </w:r>
      <w:r w:rsidR="003C3C72">
        <w:t xml:space="preserve"> 6-3-20</w:t>
      </w:r>
      <w:r w:rsidR="00866CD4">
        <w:t>)</w:t>
      </w:r>
      <w:r w:rsidR="003C3C72">
        <w:t>, and the Star Tribune editorial by William Pentelovi</w:t>
      </w:r>
      <w:r w:rsidR="00222E81">
        <w:t>t</w:t>
      </w:r>
      <w:r w:rsidR="003C3C72">
        <w:t>ch</w:t>
      </w:r>
      <w:r w:rsidR="00222E81">
        <w:t>. With</w:t>
      </w:r>
      <w:r w:rsidR="00D35030">
        <w:t xml:space="preserve">out taking time to </w:t>
      </w:r>
      <w:r w:rsidR="00BE3A59">
        <w:t>summarize</w:t>
      </w:r>
      <w:r w:rsidR="00AC49B4">
        <w:t xml:space="preserve"> the ideas presented therein</w:t>
      </w:r>
      <w:r w:rsidR="00BE3A59">
        <w:t>, I am generally in agreement and encourage you to access all if you have not already</w:t>
      </w:r>
      <w:r w:rsidR="00D8578B">
        <w:t xml:space="preserve"> done so</w:t>
      </w:r>
      <w:r w:rsidR="00BE3A59">
        <w:t>.</w:t>
      </w:r>
    </w:p>
    <w:p w14:paraId="6CFA0034" w14:textId="4DE6B4FD" w:rsidR="00536A35" w:rsidRDefault="00536A35" w:rsidP="00121B4F">
      <w:pPr>
        <w:pBdr>
          <w:top w:val="nil"/>
          <w:left w:val="nil"/>
          <w:bottom w:val="nil"/>
          <w:right w:val="nil"/>
          <w:between w:val="nil"/>
        </w:pBdr>
      </w:pPr>
    </w:p>
    <w:p w14:paraId="26BA2F8B" w14:textId="795AE00A" w:rsidR="00536A35" w:rsidRDefault="00536A35" w:rsidP="00121B4F">
      <w:pPr>
        <w:pBdr>
          <w:top w:val="nil"/>
          <w:left w:val="nil"/>
          <w:bottom w:val="nil"/>
          <w:right w:val="nil"/>
          <w:between w:val="nil"/>
        </w:pBdr>
      </w:pPr>
      <w:r>
        <w:t xml:space="preserve">But I </w:t>
      </w:r>
      <w:r w:rsidR="00D8578B">
        <w:t>do wish</w:t>
      </w:r>
      <w:r>
        <w:t xml:space="preserve"> to </w:t>
      </w:r>
      <w:r w:rsidR="00D8578B">
        <w:t>add</w:t>
      </w:r>
      <w:r>
        <w:t xml:space="preserve"> </w:t>
      </w:r>
      <w:r w:rsidR="00025026">
        <w:t>four</w:t>
      </w:r>
      <w:r>
        <w:t xml:space="preserve"> specific </w:t>
      </w:r>
      <w:r w:rsidR="00D8578B">
        <w:t>ideas</w:t>
      </w:r>
      <w:r>
        <w:t xml:space="preserve"> that are within the realm of the</w:t>
      </w:r>
      <w:r w:rsidR="0003576D">
        <w:t xml:space="preserve"> Legislature and which I have not seen specifically raised. The suggestions come primarily from my experience with the </w:t>
      </w:r>
      <w:r w:rsidR="00AD4F59">
        <w:t>Civilian Review Authority</w:t>
      </w:r>
      <w:r w:rsidR="0003576D">
        <w:t xml:space="preserve">, </w:t>
      </w:r>
      <w:r w:rsidR="00AD4F59">
        <w:t>where I witnessed the</w:t>
      </w:r>
      <w:r w:rsidR="0003576D">
        <w:t xml:space="preserve"> </w:t>
      </w:r>
      <w:r w:rsidR="00AD4F59">
        <w:t>a</w:t>
      </w:r>
      <w:r w:rsidR="0003576D">
        <w:t xml:space="preserve">ccountability process in operation </w:t>
      </w:r>
      <w:r w:rsidR="008C5569">
        <w:t xml:space="preserve">and </w:t>
      </w:r>
      <w:r w:rsidR="0003576D">
        <w:t>with access to the private data of complaints and knowledge of how they resolved.</w:t>
      </w:r>
    </w:p>
    <w:p w14:paraId="6DF6A5BC" w14:textId="2A410F6A" w:rsidR="0003576D" w:rsidRDefault="0003576D" w:rsidP="00121B4F">
      <w:pPr>
        <w:pBdr>
          <w:top w:val="nil"/>
          <w:left w:val="nil"/>
          <w:bottom w:val="nil"/>
          <w:right w:val="nil"/>
          <w:between w:val="nil"/>
        </w:pBdr>
      </w:pPr>
    </w:p>
    <w:p w14:paraId="536954DC" w14:textId="638FDC28" w:rsidR="00D35873" w:rsidRPr="007472DC" w:rsidRDefault="00A2713E" w:rsidP="0003576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7472DC">
        <w:rPr>
          <w:b/>
          <w:bCs/>
          <w:color w:val="000000"/>
        </w:rPr>
        <w:t xml:space="preserve">Amend 13.43 (data practices) so that </w:t>
      </w:r>
      <w:r w:rsidR="00ED4633">
        <w:rPr>
          <w:b/>
          <w:bCs/>
          <w:color w:val="000000"/>
        </w:rPr>
        <w:t xml:space="preserve">records pertaining to </w:t>
      </w:r>
      <w:r w:rsidR="004D360F">
        <w:rPr>
          <w:b/>
          <w:bCs/>
          <w:color w:val="000000"/>
        </w:rPr>
        <w:t xml:space="preserve">a personnel matter become public </w:t>
      </w:r>
      <w:r w:rsidR="00663EBF">
        <w:rPr>
          <w:b/>
          <w:bCs/>
          <w:color w:val="000000"/>
        </w:rPr>
        <w:t xml:space="preserve">once it is determined that misconduct occurred </w:t>
      </w:r>
      <w:r w:rsidR="00705CE6" w:rsidRPr="007472DC">
        <w:rPr>
          <w:b/>
          <w:bCs/>
          <w:color w:val="000000"/>
        </w:rPr>
        <w:t xml:space="preserve">(and not based solely on </w:t>
      </w:r>
      <w:r w:rsidR="00D35873" w:rsidRPr="007472DC">
        <w:rPr>
          <w:b/>
          <w:bCs/>
          <w:color w:val="000000"/>
        </w:rPr>
        <w:t>whether discipline results).</w:t>
      </w:r>
    </w:p>
    <w:p w14:paraId="0E8E2FD8" w14:textId="7FCE2073" w:rsidR="00161153" w:rsidRDefault="00161153" w:rsidP="001611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BFC85A" w14:textId="588111DC" w:rsidR="00161153" w:rsidRDefault="00DE4FC0" w:rsidP="001611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was </w:t>
      </w:r>
      <w:r w:rsidR="00E14D18">
        <w:rPr>
          <w:color w:val="000000"/>
        </w:rPr>
        <w:t xml:space="preserve">recently </w:t>
      </w:r>
      <w:r>
        <w:rPr>
          <w:color w:val="000000"/>
        </w:rPr>
        <w:t xml:space="preserve">quoted in the Star Tribune about this point and have raised it </w:t>
      </w:r>
      <w:r w:rsidR="00E30B22">
        <w:rPr>
          <w:color w:val="000000"/>
        </w:rPr>
        <w:t xml:space="preserve">there </w:t>
      </w:r>
      <w:r>
        <w:rPr>
          <w:color w:val="000000"/>
        </w:rPr>
        <w:t xml:space="preserve">in </w:t>
      </w:r>
      <w:r w:rsidR="00E30B22">
        <w:rPr>
          <w:color w:val="000000"/>
        </w:rPr>
        <w:t xml:space="preserve">past guest </w:t>
      </w:r>
      <w:r>
        <w:rPr>
          <w:color w:val="000000"/>
        </w:rPr>
        <w:t>editorials</w:t>
      </w:r>
      <w:r w:rsidR="002A58D6">
        <w:rPr>
          <w:color w:val="000000"/>
        </w:rPr>
        <w:t xml:space="preserve">. </w:t>
      </w:r>
      <w:r w:rsidR="00B057C1">
        <w:rPr>
          <w:color w:val="000000"/>
        </w:rPr>
        <w:t>Minnesota</w:t>
      </w:r>
      <w:r w:rsidR="008B25F0">
        <w:rPr>
          <w:color w:val="000000"/>
        </w:rPr>
        <w:t xml:space="preserve"> has long </w:t>
      </w:r>
      <w:r w:rsidR="00B057C1">
        <w:rPr>
          <w:color w:val="000000"/>
        </w:rPr>
        <w:t>tolerated</w:t>
      </w:r>
      <w:r w:rsidR="008B25F0">
        <w:rPr>
          <w:color w:val="000000"/>
        </w:rPr>
        <w:t xml:space="preserve"> a perverse incentive at all levels of government in </w:t>
      </w:r>
      <w:r w:rsidR="00B057C1">
        <w:rPr>
          <w:color w:val="000000"/>
        </w:rPr>
        <w:t>that</w:t>
      </w:r>
      <w:r w:rsidR="008B25F0">
        <w:rPr>
          <w:color w:val="000000"/>
        </w:rPr>
        <w:t xml:space="preserve"> the easiest way </w:t>
      </w:r>
      <w:r w:rsidR="00B31C1C">
        <w:rPr>
          <w:color w:val="000000"/>
        </w:rPr>
        <w:t xml:space="preserve">for any department head </w:t>
      </w:r>
      <w:r w:rsidR="008B25F0">
        <w:rPr>
          <w:color w:val="000000"/>
        </w:rPr>
        <w:t xml:space="preserve">to avoid </w:t>
      </w:r>
      <w:r w:rsidR="00B31C1C">
        <w:rPr>
          <w:color w:val="000000"/>
        </w:rPr>
        <w:t>negative public exposure</w:t>
      </w:r>
      <w:r w:rsidR="00E14D18" w:rsidRPr="00E14D18">
        <w:rPr>
          <w:color w:val="000000"/>
        </w:rPr>
        <w:t xml:space="preserve"> </w:t>
      </w:r>
      <w:r w:rsidR="00E14D18">
        <w:rPr>
          <w:color w:val="000000"/>
        </w:rPr>
        <w:t>for their agency</w:t>
      </w:r>
      <w:r w:rsidR="00B31C1C">
        <w:rPr>
          <w:color w:val="000000"/>
        </w:rPr>
        <w:t xml:space="preserve">, or even </w:t>
      </w:r>
      <w:r w:rsidR="008B25F0">
        <w:rPr>
          <w:color w:val="000000"/>
        </w:rPr>
        <w:t>scandal</w:t>
      </w:r>
      <w:r w:rsidR="00B31C1C">
        <w:rPr>
          <w:color w:val="000000"/>
        </w:rPr>
        <w:t>,</w:t>
      </w:r>
      <w:r w:rsidR="008B25F0">
        <w:rPr>
          <w:color w:val="000000"/>
        </w:rPr>
        <w:t xml:space="preserve"> is to take no action against </w:t>
      </w:r>
      <w:r w:rsidR="00980B29">
        <w:rPr>
          <w:color w:val="000000"/>
        </w:rPr>
        <w:t xml:space="preserve">an employee’s misconduct. </w:t>
      </w:r>
      <w:r w:rsidR="00D80384">
        <w:rPr>
          <w:color w:val="000000"/>
        </w:rPr>
        <w:t xml:space="preserve">(Which allows all related information to remain private.) </w:t>
      </w:r>
      <w:r w:rsidR="00980B29">
        <w:rPr>
          <w:color w:val="000000"/>
        </w:rPr>
        <w:t xml:space="preserve">The results in policing are plain to see. </w:t>
      </w:r>
      <w:r w:rsidR="00A65061">
        <w:rPr>
          <w:color w:val="000000"/>
        </w:rPr>
        <w:t>Effecting this change also allows transparency for evaluating police</w:t>
      </w:r>
      <w:r w:rsidR="00D80384">
        <w:rPr>
          <w:color w:val="000000"/>
        </w:rPr>
        <w:t xml:space="preserve"> chiefs</w:t>
      </w:r>
      <w:r w:rsidR="00A65061">
        <w:rPr>
          <w:color w:val="000000"/>
        </w:rPr>
        <w:t xml:space="preserve"> (and other government management</w:t>
      </w:r>
      <w:r w:rsidR="00D80384">
        <w:rPr>
          <w:color w:val="000000"/>
        </w:rPr>
        <w:t>)</w:t>
      </w:r>
      <w:r w:rsidR="007472DC">
        <w:rPr>
          <w:color w:val="000000"/>
        </w:rPr>
        <w:t>; how effective is the supervision?</w:t>
      </w:r>
      <w:r w:rsidR="004A0E5C">
        <w:rPr>
          <w:color w:val="000000"/>
        </w:rPr>
        <w:t xml:space="preserve"> How willing are they </w:t>
      </w:r>
      <w:r w:rsidR="00447C90">
        <w:rPr>
          <w:color w:val="000000"/>
        </w:rPr>
        <w:t>to ensure appropriate employee service to the public?</w:t>
      </w:r>
    </w:p>
    <w:p w14:paraId="26181478" w14:textId="77777777" w:rsidR="00161153" w:rsidRDefault="00161153" w:rsidP="001611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0ACB20" w14:textId="65D679C4" w:rsidR="00F717CE" w:rsidRDefault="00D35873" w:rsidP="0003576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7472DC">
        <w:rPr>
          <w:b/>
          <w:bCs/>
          <w:color w:val="000000"/>
        </w:rPr>
        <w:t>In the section that allows for (or newly expands upon) the authority</w:t>
      </w:r>
      <w:r w:rsidR="0035784D" w:rsidRPr="007472DC">
        <w:rPr>
          <w:b/>
          <w:bCs/>
          <w:color w:val="000000"/>
        </w:rPr>
        <w:t xml:space="preserve"> of jurisdictions to create non-police mechanisms for police review (i.e. civilian review)</w:t>
      </w:r>
      <w:r w:rsidR="00CA3370" w:rsidRPr="007472DC">
        <w:rPr>
          <w:b/>
          <w:bCs/>
          <w:color w:val="000000"/>
        </w:rPr>
        <w:t xml:space="preserve">, repeal </w:t>
      </w:r>
      <w:r w:rsidR="00447C90">
        <w:rPr>
          <w:b/>
          <w:bCs/>
          <w:color w:val="000000"/>
        </w:rPr>
        <w:t xml:space="preserve">the </w:t>
      </w:r>
      <w:r w:rsidR="00CA3370" w:rsidRPr="007472DC">
        <w:rPr>
          <w:b/>
          <w:bCs/>
          <w:color w:val="000000"/>
        </w:rPr>
        <w:t xml:space="preserve">law that allows only a police chief to determine that misconduct occurred, and instead allow that </w:t>
      </w:r>
      <w:r w:rsidR="00B7318E">
        <w:rPr>
          <w:b/>
          <w:bCs/>
          <w:color w:val="000000"/>
        </w:rPr>
        <w:t>mechanism</w:t>
      </w:r>
      <w:r w:rsidR="00EF0A74" w:rsidRPr="007472DC">
        <w:rPr>
          <w:b/>
          <w:bCs/>
          <w:color w:val="000000"/>
        </w:rPr>
        <w:t xml:space="preserve"> to provide </w:t>
      </w:r>
      <w:r w:rsidR="00B7318E">
        <w:rPr>
          <w:b/>
          <w:bCs/>
          <w:color w:val="000000"/>
        </w:rPr>
        <w:t>such determination</w:t>
      </w:r>
      <w:r w:rsidR="00EF0A74" w:rsidRPr="007472DC">
        <w:rPr>
          <w:b/>
          <w:bCs/>
          <w:color w:val="000000"/>
        </w:rPr>
        <w:t xml:space="preserve"> in</w:t>
      </w:r>
      <w:r w:rsidR="00447C90">
        <w:rPr>
          <w:b/>
          <w:bCs/>
          <w:color w:val="000000"/>
        </w:rPr>
        <w:t xml:space="preserve"> conjunction with</w:t>
      </w:r>
      <w:r w:rsidR="00BE59E1">
        <w:rPr>
          <w:b/>
          <w:bCs/>
          <w:color w:val="000000"/>
        </w:rPr>
        <w:t xml:space="preserve"> the</w:t>
      </w:r>
      <w:r w:rsidR="00BE59E1" w:rsidRPr="00BE59E1">
        <w:rPr>
          <w:b/>
          <w:bCs/>
          <w:color w:val="000000"/>
        </w:rPr>
        <w:t xml:space="preserve"> </w:t>
      </w:r>
      <w:r w:rsidR="00BE59E1" w:rsidRPr="007472DC">
        <w:rPr>
          <w:b/>
          <w:bCs/>
          <w:color w:val="000000"/>
        </w:rPr>
        <w:t>public transparency</w:t>
      </w:r>
      <w:r w:rsidR="00BE59E1">
        <w:rPr>
          <w:b/>
          <w:bCs/>
          <w:color w:val="000000"/>
        </w:rPr>
        <w:t xml:space="preserve"> of</w:t>
      </w:r>
      <w:r w:rsidR="00EF0A74" w:rsidRPr="007472DC">
        <w:rPr>
          <w:b/>
          <w:bCs/>
          <w:color w:val="000000"/>
        </w:rPr>
        <w:t xml:space="preserve"> #1.</w:t>
      </w:r>
    </w:p>
    <w:p w14:paraId="45E54360" w14:textId="07568D33" w:rsidR="006377A0" w:rsidRDefault="006377A0" w:rsidP="006377A0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F08C925" w14:textId="4ACEE489" w:rsidR="00161153" w:rsidRPr="0033405A" w:rsidRDefault="00277F9D" w:rsidP="0033405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I’m suggesting was the </w:t>
      </w:r>
      <w:r w:rsidR="00433458">
        <w:rPr>
          <w:color w:val="000000"/>
        </w:rPr>
        <w:t xml:space="preserve">prior </w:t>
      </w:r>
      <w:r w:rsidR="00275065">
        <w:rPr>
          <w:color w:val="000000"/>
        </w:rPr>
        <w:t xml:space="preserve">practice </w:t>
      </w:r>
      <w:r w:rsidR="00433458">
        <w:rPr>
          <w:color w:val="000000"/>
        </w:rPr>
        <w:t>during the years</w:t>
      </w:r>
      <w:r w:rsidR="00275065">
        <w:rPr>
          <w:color w:val="000000"/>
        </w:rPr>
        <w:t xml:space="preserve"> I Chaired the Minneapolis CRA</w:t>
      </w:r>
      <w:r w:rsidR="00B4392F">
        <w:rPr>
          <w:color w:val="000000"/>
        </w:rPr>
        <w:t>; we determined when misconduct occurred. B</w:t>
      </w:r>
      <w:r w:rsidR="00C17BFA">
        <w:rPr>
          <w:color w:val="000000"/>
        </w:rPr>
        <w:t xml:space="preserve">ut the police union fought </w:t>
      </w:r>
      <w:r w:rsidR="001E3378">
        <w:rPr>
          <w:color w:val="000000"/>
        </w:rPr>
        <w:t xml:space="preserve">hard </w:t>
      </w:r>
      <w:r w:rsidR="00433458">
        <w:rPr>
          <w:color w:val="000000"/>
        </w:rPr>
        <w:t xml:space="preserve">against it </w:t>
      </w:r>
      <w:r w:rsidR="001E3378">
        <w:rPr>
          <w:color w:val="000000"/>
        </w:rPr>
        <w:t xml:space="preserve">(with city attorney and police management allies) </w:t>
      </w:r>
      <w:r w:rsidR="00384B54">
        <w:rPr>
          <w:color w:val="000000"/>
        </w:rPr>
        <w:t>because</w:t>
      </w:r>
      <w:r w:rsidR="001E3378">
        <w:rPr>
          <w:color w:val="000000"/>
        </w:rPr>
        <w:t xml:space="preserve"> it </w:t>
      </w:r>
      <w:r w:rsidR="00B40407">
        <w:rPr>
          <w:color w:val="000000"/>
        </w:rPr>
        <w:t xml:space="preserve">potentially discredited police witnesses and </w:t>
      </w:r>
      <w:r w:rsidR="00384B54">
        <w:rPr>
          <w:color w:val="000000"/>
        </w:rPr>
        <w:t>enhanced</w:t>
      </w:r>
      <w:r w:rsidR="007C2066">
        <w:rPr>
          <w:color w:val="000000"/>
        </w:rPr>
        <w:t xml:space="preserve"> risk for civil liability</w:t>
      </w:r>
      <w:r w:rsidR="003D4395">
        <w:rPr>
          <w:color w:val="000000"/>
        </w:rPr>
        <w:t xml:space="preserve"> if</w:t>
      </w:r>
      <w:r w:rsidR="007C2066">
        <w:rPr>
          <w:color w:val="000000"/>
        </w:rPr>
        <w:t xml:space="preserve"> a factfinding of misconduct was available through </w:t>
      </w:r>
      <w:r w:rsidR="00B40407">
        <w:rPr>
          <w:color w:val="000000"/>
        </w:rPr>
        <w:t>discovery</w:t>
      </w:r>
      <w:r w:rsidR="00A24C99">
        <w:rPr>
          <w:color w:val="000000"/>
        </w:rPr>
        <w:t xml:space="preserve"> or </w:t>
      </w:r>
      <w:r w:rsidR="007C2066">
        <w:rPr>
          <w:color w:val="000000"/>
        </w:rPr>
        <w:t>subpoena</w:t>
      </w:r>
      <w:r w:rsidR="00B4392F">
        <w:rPr>
          <w:color w:val="000000"/>
        </w:rPr>
        <w:t xml:space="preserve"> (</w:t>
      </w:r>
      <w:r w:rsidR="00A24C99">
        <w:rPr>
          <w:color w:val="000000"/>
        </w:rPr>
        <w:t xml:space="preserve">for the latter </w:t>
      </w:r>
      <w:r w:rsidR="007654F2">
        <w:rPr>
          <w:color w:val="000000"/>
        </w:rPr>
        <w:t>enhanced by the fact that the</w:t>
      </w:r>
      <w:r w:rsidR="00936D7F">
        <w:rPr>
          <w:color w:val="000000"/>
        </w:rPr>
        <w:t xml:space="preserve"> city had </w:t>
      </w:r>
      <w:r w:rsidR="007654F2">
        <w:rPr>
          <w:color w:val="000000"/>
        </w:rPr>
        <w:t>failed to impose a disciplinary</w:t>
      </w:r>
      <w:r w:rsidR="00936D7F">
        <w:rPr>
          <w:color w:val="000000"/>
        </w:rPr>
        <w:t xml:space="preserve"> consequence</w:t>
      </w:r>
      <w:r w:rsidR="00B4392F">
        <w:rPr>
          <w:color w:val="000000"/>
        </w:rPr>
        <w:t>)</w:t>
      </w:r>
      <w:r w:rsidR="00936D7F">
        <w:rPr>
          <w:color w:val="000000"/>
        </w:rPr>
        <w:t xml:space="preserve">. </w:t>
      </w:r>
      <w:r w:rsidR="009368DA">
        <w:rPr>
          <w:color w:val="000000"/>
        </w:rPr>
        <w:t>About 10 years ago, the</w:t>
      </w:r>
      <w:r w:rsidR="001E1839">
        <w:rPr>
          <w:color w:val="000000"/>
        </w:rPr>
        <w:t xml:space="preserve"> legislature </w:t>
      </w:r>
      <w:r w:rsidR="009368DA">
        <w:rPr>
          <w:color w:val="000000"/>
        </w:rPr>
        <w:t>amended</w:t>
      </w:r>
      <w:r w:rsidR="001E1839">
        <w:rPr>
          <w:color w:val="000000"/>
        </w:rPr>
        <w:t xml:space="preserve"> language </w:t>
      </w:r>
      <w:r w:rsidR="009368DA">
        <w:rPr>
          <w:color w:val="000000"/>
        </w:rPr>
        <w:t>so</w:t>
      </w:r>
      <w:r w:rsidR="001E1839">
        <w:rPr>
          <w:color w:val="000000"/>
        </w:rPr>
        <w:t xml:space="preserve"> that only a police chief </w:t>
      </w:r>
      <w:r w:rsidR="009368DA">
        <w:rPr>
          <w:color w:val="000000"/>
        </w:rPr>
        <w:t>could officially</w:t>
      </w:r>
      <w:r w:rsidR="001E1839">
        <w:rPr>
          <w:color w:val="000000"/>
        </w:rPr>
        <w:t xml:space="preserve"> determine misconduct. If that </w:t>
      </w:r>
      <w:r w:rsidR="0033405A">
        <w:rPr>
          <w:color w:val="000000"/>
        </w:rPr>
        <w:t xml:space="preserve">language remains in statute, any reviving of </w:t>
      </w:r>
      <w:r w:rsidR="00FB54E5">
        <w:rPr>
          <w:color w:val="000000"/>
        </w:rPr>
        <w:t>external</w:t>
      </w:r>
      <w:r w:rsidR="0033405A">
        <w:rPr>
          <w:color w:val="000000"/>
        </w:rPr>
        <w:t xml:space="preserve"> police accountability </w:t>
      </w:r>
      <w:r w:rsidR="00FB54E5">
        <w:rPr>
          <w:color w:val="000000"/>
        </w:rPr>
        <w:t>mechanisms</w:t>
      </w:r>
      <w:r w:rsidR="0033405A">
        <w:rPr>
          <w:color w:val="000000"/>
        </w:rPr>
        <w:t xml:space="preserve"> would be a charade.</w:t>
      </w:r>
      <w:r w:rsidR="001E1839">
        <w:rPr>
          <w:color w:val="000000"/>
        </w:rPr>
        <w:t xml:space="preserve"> </w:t>
      </w:r>
    </w:p>
    <w:p w14:paraId="78DC0E31" w14:textId="77777777" w:rsidR="00161153" w:rsidRDefault="00161153" w:rsidP="0016115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F92190" w14:textId="30A869C8" w:rsidR="0003576D" w:rsidRPr="00850B0C" w:rsidRDefault="00F717CE" w:rsidP="0003576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850B0C">
        <w:rPr>
          <w:b/>
          <w:bCs/>
          <w:color w:val="000000"/>
        </w:rPr>
        <w:t xml:space="preserve">Amend PELRA so that it does not apply to any agency for </w:t>
      </w:r>
      <w:r w:rsidR="00161153" w:rsidRPr="00850B0C">
        <w:rPr>
          <w:b/>
          <w:bCs/>
          <w:color w:val="000000"/>
        </w:rPr>
        <w:t>which deadly force is authorized.</w:t>
      </w:r>
      <w:r w:rsidR="00A2713E" w:rsidRPr="00850B0C">
        <w:rPr>
          <w:b/>
          <w:bCs/>
          <w:color w:val="000000"/>
        </w:rPr>
        <w:t xml:space="preserve"> </w:t>
      </w:r>
    </w:p>
    <w:p w14:paraId="47EEF4CC" w14:textId="35321977" w:rsidR="0033405A" w:rsidRDefault="0033405A" w:rsidP="0033405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07BE86" w14:textId="765C2062" w:rsidR="0033405A" w:rsidRDefault="0033405A" w:rsidP="0033405A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have limited knowledge of labor law,</w:t>
      </w:r>
      <w:r w:rsidR="00850B0C">
        <w:rPr>
          <w:color w:val="000000"/>
        </w:rPr>
        <w:t xml:space="preserve"> but it does seem there are statutory ways to exempt police, either in whole or in the grievance provisions.</w:t>
      </w:r>
    </w:p>
    <w:p w14:paraId="6AFA9FDD" w14:textId="77777777" w:rsidR="00025026" w:rsidRDefault="00025026" w:rsidP="0002502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77A161" w14:textId="39158587" w:rsidR="00025026" w:rsidRPr="00F946F7" w:rsidRDefault="00025026" w:rsidP="0003576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F946F7">
        <w:rPr>
          <w:b/>
          <w:bCs/>
          <w:color w:val="000000"/>
        </w:rPr>
        <w:t xml:space="preserve">Mandate </w:t>
      </w:r>
      <w:r w:rsidR="00FB54E5">
        <w:rPr>
          <w:b/>
          <w:bCs/>
          <w:color w:val="000000"/>
        </w:rPr>
        <w:t>that prosecutors and</w:t>
      </w:r>
      <w:r w:rsidR="0083265E" w:rsidRPr="00F946F7">
        <w:rPr>
          <w:b/>
          <w:bCs/>
          <w:color w:val="000000"/>
        </w:rPr>
        <w:t xml:space="preserve"> </w:t>
      </w:r>
      <w:r w:rsidR="00FB54E5">
        <w:rPr>
          <w:b/>
          <w:bCs/>
          <w:color w:val="000000"/>
        </w:rPr>
        <w:t>j</w:t>
      </w:r>
      <w:r w:rsidR="0083265E" w:rsidRPr="00F946F7">
        <w:rPr>
          <w:b/>
          <w:bCs/>
          <w:color w:val="000000"/>
        </w:rPr>
        <w:t>udge</w:t>
      </w:r>
      <w:r w:rsidR="00FB54E5">
        <w:rPr>
          <w:b/>
          <w:bCs/>
          <w:color w:val="000000"/>
        </w:rPr>
        <w:t>s</w:t>
      </w:r>
      <w:r w:rsidR="0083265E" w:rsidRPr="00F946F7">
        <w:rPr>
          <w:b/>
          <w:bCs/>
          <w:color w:val="000000"/>
        </w:rPr>
        <w:t xml:space="preserve"> </w:t>
      </w:r>
      <w:r w:rsidR="00FB54E5">
        <w:rPr>
          <w:b/>
          <w:bCs/>
          <w:color w:val="000000"/>
        </w:rPr>
        <w:t>who have received</w:t>
      </w:r>
      <w:r w:rsidR="0083265E" w:rsidRPr="00F946F7">
        <w:rPr>
          <w:b/>
          <w:bCs/>
          <w:color w:val="000000"/>
        </w:rPr>
        <w:t xml:space="preserve"> police statement</w:t>
      </w:r>
      <w:r w:rsidR="00FB54E5">
        <w:rPr>
          <w:b/>
          <w:bCs/>
          <w:color w:val="000000"/>
        </w:rPr>
        <w:t>s</w:t>
      </w:r>
      <w:r w:rsidR="0083265E" w:rsidRPr="00F946F7">
        <w:rPr>
          <w:b/>
          <w:bCs/>
          <w:color w:val="000000"/>
        </w:rPr>
        <w:t xml:space="preserve"> </w:t>
      </w:r>
      <w:r w:rsidR="00FB54E5">
        <w:rPr>
          <w:b/>
          <w:bCs/>
          <w:color w:val="000000"/>
        </w:rPr>
        <w:t xml:space="preserve">that are </w:t>
      </w:r>
      <w:r w:rsidR="000C1BEA" w:rsidRPr="00F946F7">
        <w:rPr>
          <w:b/>
          <w:bCs/>
          <w:color w:val="000000"/>
        </w:rPr>
        <w:t xml:space="preserve">demonstrably false </w:t>
      </w:r>
      <w:r w:rsidR="005C1006">
        <w:rPr>
          <w:b/>
          <w:bCs/>
          <w:color w:val="000000"/>
        </w:rPr>
        <w:t xml:space="preserve">– whether or not a criminal case becomes charged </w:t>
      </w:r>
      <w:r w:rsidR="0032680A">
        <w:rPr>
          <w:b/>
          <w:bCs/>
          <w:color w:val="000000"/>
        </w:rPr>
        <w:t>–</w:t>
      </w:r>
      <w:r w:rsidR="005C1006">
        <w:rPr>
          <w:b/>
          <w:bCs/>
          <w:color w:val="000000"/>
        </w:rPr>
        <w:t xml:space="preserve"> to</w:t>
      </w:r>
      <w:r w:rsidR="005C01C2" w:rsidRPr="00F946F7">
        <w:rPr>
          <w:b/>
          <w:bCs/>
          <w:color w:val="000000"/>
        </w:rPr>
        <w:t xml:space="preserve"> report</w:t>
      </w:r>
      <w:r w:rsidR="005C1006">
        <w:rPr>
          <w:b/>
          <w:bCs/>
          <w:color w:val="000000"/>
        </w:rPr>
        <w:t xml:space="preserve"> such</w:t>
      </w:r>
      <w:r w:rsidR="005C01C2" w:rsidRPr="00F946F7">
        <w:rPr>
          <w:b/>
          <w:bCs/>
          <w:color w:val="000000"/>
        </w:rPr>
        <w:t xml:space="preserve"> to the police chief</w:t>
      </w:r>
      <w:r w:rsidR="0042778F" w:rsidRPr="00F946F7">
        <w:rPr>
          <w:b/>
          <w:bCs/>
          <w:color w:val="000000"/>
        </w:rPr>
        <w:t xml:space="preserve">; classify such data </w:t>
      </w:r>
      <w:r w:rsidR="0032680A">
        <w:rPr>
          <w:b/>
          <w:bCs/>
          <w:color w:val="000000"/>
        </w:rPr>
        <w:t>–</w:t>
      </w:r>
      <w:r w:rsidR="0032680A">
        <w:rPr>
          <w:b/>
          <w:bCs/>
          <w:color w:val="000000"/>
        </w:rPr>
        <w:t xml:space="preserve"> </w:t>
      </w:r>
      <w:r w:rsidR="002A58D6" w:rsidRPr="00F946F7">
        <w:rPr>
          <w:b/>
          <w:bCs/>
          <w:color w:val="000000"/>
        </w:rPr>
        <w:t>as well as</w:t>
      </w:r>
      <w:r w:rsidR="0042778F" w:rsidRPr="00F946F7">
        <w:rPr>
          <w:b/>
          <w:bCs/>
          <w:color w:val="000000"/>
        </w:rPr>
        <w:t xml:space="preserve"> any further </w:t>
      </w:r>
      <w:r w:rsidR="004F6691" w:rsidRPr="00F946F7">
        <w:rPr>
          <w:b/>
          <w:bCs/>
          <w:color w:val="000000"/>
        </w:rPr>
        <w:t xml:space="preserve">investigation and consequence taken by the police chief </w:t>
      </w:r>
      <w:r w:rsidR="00E362E3">
        <w:rPr>
          <w:b/>
          <w:bCs/>
          <w:color w:val="000000"/>
        </w:rPr>
        <w:t>–</w:t>
      </w:r>
      <w:r w:rsidR="00E362E3">
        <w:rPr>
          <w:b/>
          <w:bCs/>
          <w:color w:val="000000"/>
        </w:rPr>
        <w:t xml:space="preserve"> </w:t>
      </w:r>
      <w:r w:rsidR="004F6691" w:rsidRPr="00F946F7">
        <w:rPr>
          <w:b/>
          <w:bCs/>
          <w:color w:val="000000"/>
        </w:rPr>
        <w:t>as public</w:t>
      </w:r>
      <w:r w:rsidR="002A58D6" w:rsidRPr="00F946F7">
        <w:rPr>
          <w:b/>
          <w:bCs/>
          <w:color w:val="000000"/>
        </w:rPr>
        <w:t>.</w:t>
      </w:r>
    </w:p>
    <w:p w14:paraId="610710B8" w14:textId="67194466" w:rsidR="00850B0C" w:rsidRDefault="00850B0C" w:rsidP="00850B0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61E9ED" w14:textId="73D97968" w:rsidR="00850B0C" w:rsidRDefault="00850B0C" w:rsidP="00850B0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Corruption </w:t>
      </w:r>
      <w:r w:rsidR="005B6A1D">
        <w:rPr>
          <w:color w:val="000000"/>
        </w:rPr>
        <w:t xml:space="preserve">in the system includes the lack of consequence for </w:t>
      </w:r>
      <w:r w:rsidR="007C5655">
        <w:rPr>
          <w:color w:val="000000"/>
        </w:rPr>
        <w:t xml:space="preserve">police </w:t>
      </w:r>
      <w:r w:rsidR="005B6A1D">
        <w:rPr>
          <w:color w:val="000000"/>
        </w:rPr>
        <w:t>dishonesty</w:t>
      </w:r>
      <w:r w:rsidR="007C5655">
        <w:rPr>
          <w:color w:val="000000"/>
        </w:rPr>
        <w:t xml:space="preserve">, which affects far more of our community members than police use of force. </w:t>
      </w:r>
      <w:r w:rsidR="00556D72">
        <w:rPr>
          <w:color w:val="000000"/>
        </w:rPr>
        <w:t xml:space="preserve">At </w:t>
      </w:r>
      <w:r w:rsidR="00E362E3">
        <w:rPr>
          <w:color w:val="000000"/>
        </w:rPr>
        <w:t>present</w:t>
      </w:r>
      <w:r w:rsidR="00556D72">
        <w:rPr>
          <w:color w:val="000000"/>
        </w:rPr>
        <w:t xml:space="preserve">, false testimony by police in their reports – even when amply proven through video </w:t>
      </w:r>
      <w:r w:rsidR="00556D72">
        <w:rPr>
          <w:color w:val="000000"/>
        </w:rPr>
        <w:t>–</w:t>
      </w:r>
      <w:r w:rsidR="00556D72">
        <w:rPr>
          <w:color w:val="000000"/>
        </w:rPr>
        <w:t xml:space="preserve"> has no consequence beyond dismissal of the criminal proceedings. Justice system partners </w:t>
      </w:r>
      <w:r w:rsidR="00E32AAF">
        <w:rPr>
          <w:color w:val="000000"/>
        </w:rPr>
        <w:t xml:space="preserve">employed by Minnesota, such as prosecutors and judges, act as if exempt from addressing this critical problem. </w:t>
      </w:r>
    </w:p>
    <w:p w14:paraId="7865B0AE" w14:textId="703807E8" w:rsidR="00EF12DA" w:rsidRDefault="00EF12DA" w:rsidP="00850B0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C0583E" w14:textId="7BA3DE2C" w:rsidR="00F946F7" w:rsidRDefault="00EF12DA" w:rsidP="00850B0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As I am a new public member of the Lawyers Board for Professional </w:t>
      </w:r>
      <w:r w:rsidR="00F946F7">
        <w:rPr>
          <w:color w:val="000000"/>
        </w:rPr>
        <w:t>R</w:t>
      </w:r>
      <w:r>
        <w:rPr>
          <w:color w:val="000000"/>
        </w:rPr>
        <w:t xml:space="preserve">esponsibility, I intend to propose similar language </w:t>
      </w:r>
      <w:r w:rsidR="00B4392F">
        <w:rPr>
          <w:color w:val="000000"/>
        </w:rPr>
        <w:t xml:space="preserve">for prosecutors </w:t>
      </w:r>
      <w:r>
        <w:rPr>
          <w:color w:val="000000"/>
        </w:rPr>
        <w:t>in Ethics rules</w:t>
      </w:r>
      <w:r w:rsidR="00F946F7">
        <w:rPr>
          <w:color w:val="000000"/>
        </w:rPr>
        <w:t xml:space="preserve">. Doing so </w:t>
      </w:r>
      <w:r w:rsidR="005F14A0">
        <w:rPr>
          <w:color w:val="000000"/>
        </w:rPr>
        <w:t>would</w:t>
      </w:r>
      <w:r w:rsidR="00F946F7">
        <w:rPr>
          <w:color w:val="000000"/>
        </w:rPr>
        <w:t xml:space="preserve"> </w:t>
      </w:r>
      <w:r w:rsidR="005F14A0">
        <w:rPr>
          <w:color w:val="000000"/>
        </w:rPr>
        <w:t>best be supported</w:t>
      </w:r>
      <w:r w:rsidR="00F946F7">
        <w:rPr>
          <w:color w:val="000000"/>
        </w:rPr>
        <w:t xml:space="preserve"> </w:t>
      </w:r>
      <w:r w:rsidR="005F14A0">
        <w:rPr>
          <w:color w:val="000000"/>
        </w:rPr>
        <w:t>by</w:t>
      </w:r>
      <w:r w:rsidR="00F946F7">
        <w:rPr>
          <w:color w:val="000000"/>
        </w:rPr>
        <w:t xml:space="preserve"> similar obligation through statute.</w:t>
      </w:r>
    </w:p>
    <w:p w14:paraId="4C2F1754" w14:textId="77777777" w:rsidR="00F946F7" w:rsidRDefault="00F946F7" w:rsidP="00850B0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94437F" w14:textId="71D3BB51" w:rsidR="00EF12DA" w:rsidRPr="0003576D" w:rsidRDefault="00F946F7" w:rsidP="00850B0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Please let me know if you would like to further discuss any of these ideas</w:t>
      </w:r>
      <w:r w:rsidR="007E2F9D">
        <w:rPr>
          <w:color w:val="000000"/>
        </w:rPr>
        <w:t xml:space="preserve"> (612-677-2139)</w:t>
      </w:r>
      <w:r>
        <w:rPr>
          <w:color w:val="000000"/>
        </w:rPr>
        <w:t xml:space="preserve">, and I welcome your sharing </w:t>
      </w:r>
      <w:r w:rsidR="007E2F9D">
        <w:rPr>
          <w:color w:val="000000"/>
        </w:rPr>
        <w:t xml:space="preserve">them </w:t>
      </w:r>
      <w:r>
        <w:rPr>
          <w:color w:val="000000"/>
        </w:rPr>
        <w:t>with colleagues or others.</w:t>
      </w:r>
      <w:r w:rsidR="00EF12DA">
        <w:rPr>
          <w:color w:val="000000"/>
        </w:rPr>
        <w:t xml:space="preserve"> </w:t>
      </w:r>
    </w:p>
    <w:sectPr w:rsidR="00EF12DA" w:rsidRPr="0003576D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46368"/>
    <w:multiLevelType w:val="hybridMultilevel"/>
    <w:tmpl w:val="999218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CCF04F3"/>
    <w:multiLevelType w:val="hybridMultilevel"/>
    <w:tmpl w:val="998AB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4D"/>
    <w:rsid w:val="00025026"/>
    <w:rsid w:val="0003576D"/>
    <w:rsid w:val="000459E0"/>
    <w:rsid w:val="0008136E"/>
    <w:rsid w:val="000C1BEA"/>
    <w:rsid w:val="000E4221"/>
    <w:rsid w:val="00117F46"/>
    <w:rsid w:val="00121B4F"/>
    <w:rsid w:val="00133D9A"/>
    <w:rsid w:val="00161153"/>
    <w:rsid w:val="00174B1D"/>
    <w:rsid w:val="00181BF4"/>
    <w:rsid w:val="001C58D1"/>
    <w:rsid w:val="001D61B6"/>
    <w:rsid w:val="001E1839"/>
    <w:rsid w:val="001E3378"/>
    <w:rsid w:val="002153AB"/>
    <w:rsid w:val="00222E81"/>
    <w:rsid w:val="00275065"/>
    <w:rsid w:val="00277F9D"/>
    <w:rsid w:val="002A58D6"/>
    <w:rsid w:val="0032680A"/>
    <w:rsid w:val="0033405A"/>
    <w:rsid w:val="0035784D"/>
    <w:rsid w:val="00383EF0"/>
    <w:rsid w:val="00384B54"/>
    <w:rsid w:val="003C3C72"/>
    <w:rsid w:val="003D4395"/>
    <w:rsid w:val="003E3464"/>
    <w:rsid w:val="0042778F"/>
    <w:rsid w:val="00433458"/>
    <w:rsid w:val="00447C90"/>
    <w:rsid w:val="004A0E5C"/>
    <w:rsid w:val="004B447D"/>
    <w:rsid w:val="004D360F"/>
    <w:rsid w:val="004F6691"/>
    <w:rsid w:val="00536A35"/>
    <w:rsid w:val="00547954"/>
    <w:rsid w:val="00556D72"/>
    <w:rsid w:val="005B6A1D"/>
    <w:rsid w:val="005C01C2"/>
    <w:rsid w:val="005C1006"/>
    <w:rsid w:val="005D614B"/>
    <w:rsid w:val="005F14A0"/>
    <w:rsid w:val="006377A0"/>
    <w:rsid w:val="00656277"/>
    <w:rsid w:val="00663EBF"/>
    <w:rsid w:val="00705CE6"/>
    <w:rsid w:val="00710214"/>
    <w:rsid w:val="00737F62"/>
    <w:rsid w:val="007472DC"/>
    <w:rsid w:val="00757664"/>
    <w:rsid w:val="007654F2"/>
    <w:rsid w:val="00767A3E"/>
    <w:rsid w:val="007C2066"/>
    <w:rsid w:val="007C5655"/>
    <w:rsid w:val="007E2F9D"/>
    <w:rsid w:val="0083265E"/>
    <w:rsid w:val="00850B0C"/>
    <w:rsid w:val="00866CD4"/>
    <w:rsid w:val="008B25F0"/>
    <w:rsid w:val="008C3210"/>
    <w:rsid w:val="008C5569"/>
    <w:rsid w:val="008C6B48"/>
    <w:rsid w:val="009368DA"/>
    <w:rsid w:val="00936D7F"/>
    <w:rsid w:val="00944EFF"/>
    <w:rsid w:val="00980B29"/>
    <w:rsid w:val="0098661B"/>
    <w:rsid w:val="009E55C8"/>
    <w:rsid w:val="009F3637"/>
    <w:rsid w:val="00A00135"/>
    <w:rsid w:val="00A00A09"/>
    <w:rsid w:val="00A24C99"/>
    <w:rsid w:val="00A2713E"/>
    <w:rsid w:val="00A27789"/>
    <w:rsid w:val="00A42DFF"/>
    <w:rsid w:val="00A65061"/>
    <w:rsid w:val="00AC49B4"/>
    <w:rsid w:val="00AD4F59"/>
    <w:rsid w:val="00B057C1"/>
    <w:rsid w:val="00B1071B"/>
    <w:rsid w:val="00B20EC3"/>
    <w:rsid w:val="00B31C1C"/>
    <w:rsid w:val="00B40407"/>
    <w:rsid w:val="00B4392F"/>
    <w:rsid w:val="00B51913"/>
    <w:rsid w:val="00B71744"/>
    <w:rsid w:val="00B7318E"/>
    <w:rsid w:val="00BD1A52"/>
    <w:rsid w:val="00BE3A59"/>
    <w:rsid w:val="00BE59E1"/>
    <w:rsid w:val="00C17BFA"/>
    <w:rsid w:val="00C41AA8"/>
    <w:rsid w:val="00C76DB8"/>
    <w:rsid w:val="00C94C83"/>
    <w:rsid w:val="00C9606E"/>
    <w:rsid w:val="00CA3370"/>
    <w:rsid w:val="00CF4095"/>
    <w:rsid w:val="00D35030"/>
    <w:rsid w:val="00D35873"/>
    <w:rsid w:val="00D80384"/>
    <w:rsid w:val="00D8578B"/>
    <w:rsid w:val="00DB764D"/>
    <w:rsid w:val="00DE4FC0"/>
    <w:rsid w:val="00E14D18"/>
    <w:rsid w:val="00E30950"/>
    <w:rsid w:val="00E30B22"/>
    <w:rsid w:val="00E32AAF"/>
    <w:rsid w:val="00E362E3"/>
    <w:rsid w:val="00ED2D5B"/>
    <w:rsid w:val="00ED4633"/>
    <w:rsid w:val="00ED5006"/>
    <w:rsid w:val="00EE6B0B"/>
    <w:rsid w:val="00EF0A74"/>
    <w:rsid w:val="00EF12DA"/>
    <w:rsid w:val="00EF6588"/>
    <w:rsid w:val="00F00853"/>
    <w:rsid w:val="00F47FE1"/>
    <w:rsid w:val="00F717CE"/>
    <w:rsid w:val="00F946F7"/>
    <w:rsid w:val="00FB3466"/>
    <w:rsid w:val="00FB54E5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44B8"/>
  <w15:docId w15:val="{6AE932B0-28AD-47BF-8350-F2BBB292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8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Guerrero, Todd J.</dc:creator>
  <cp:lastModifiedBy>Michael Friedman</cp:lastModifiedBy>
  <cp:revision>97</cp:revision>
  <cp:lastPrinted>2020-06-11T20:20:00Z</cp:lastPrinted>
  <dcterms:created xsi:type="dcterms:W3CDTF">2020-06-11T16:13:00Z</dcterms:created>
  <dcterms:modified xsi:type="dcterms:W3CDTF">2020-06-11T20:37:00Z</dcterms:modified>
</cp:coreProperties>
</file>