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20" w:rsidRDefault="00E56020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rFonts w:ascii="Arial" w:hAnsi="Arial"/>
          <w:b/>
          <w:noProof/>
          <w:sz w:val="28"/>
        </w:rPr>
      </w:pPr>
      <w:bookmarkStart w:id="0" w:name="_GoBack"/>
      <w:bookmarkEnd w:id="0"/>
      <w:r w:rsidRPr="00E56020"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6858000" cy="1143000"/>
            <wp:effectExtent l="0" t="0" r="0" b="0"/>
            <wp:wrapSquare wrapText="bothSides"/>
            <wp:docPr id="17" name="Picture 17" descr="Graphic saying House Research Bill Summary" title="House Research Bill 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DUser\Documents\GroupWise\110116_HRD banner graphic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14A" w:rsidRDefault="009129D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Tahoma" w:hAnsi="Tahoma" w:cs="Tahoma"/>
          <w:b/>
          <w:sz w:val="26"/>
          <w:szCs w:val="26"/>
        </w:rPr>
        <w:tab/>
      </w:r>
      <w:r w:rsidR="000774FA" w:rsidRPr="00BF28E5">
        <w:rPr>
          <w:rFonts w:ascii="Tahoma" w:hAnsi="Tahoma" w:cs="Tahoma"/>
          <w:b/>
          <w:szCs w:val="24"/>
        </w:rPr>
        <w:t>File Number</w:t>
      </w:r>
      <w:r w:rsidR="002B114A" w:rsidRPr="00BF28E5">
        <w:rPr>
          <w:rFonts w:ascii="Tahoma" w:hAnsi="Tahoma" w:cs="Tahoma"/>
          <w:b/>
          <w:szCs w:val="24"/>
        </w:rPr>
        <w:t>:</w:t>
      </w:r>
      <w:r w:rsidR="000774FA">
        <w:tab/>
      </w:r>
      <w:r w:rsidR="002B114A">
        <w:t xml:space="preserve">H.F. </w:t>
      </w:r>
      <w:r w:rsidR="00530C98">
        <w:t>3246</w:t>
      </w:r>
      <w:r w:rsidR="002B114A">
        <w:tab/>
      </w:r>
      <w:r w:rsidR="00AB6828" w:rsidRPr="00904AA6">
        <w:rPr>
          <w:rFonts w:ascii="Tahoma" w:hAnsi="Tahoma" w:cs="Tahoma"/>
          <w:b/>
          <w:sz w:val="22"/>
          <w:szCs w:val="22"/>
        </w:rPr>
        <w:t>Date</w:t>
      </w:r>
      <w:r w:rsidR="002B114A" w:rsidRPr="00904AA6">
        <w:rPr>
          <w:rFonts w:ascii="Tahoma" w:hAnsi="Tahoma" w:cs="Tahoma"/>
          <w:b/>
          <w:sz w:val="22"/>
          <w:szCs w:val="22"/>
        </w:rPr>
        <w:t>:</w:t>
      </w:r>
      <w:r w:rsidR="002B114A">
        <w:rPr>
          <w:rFonts w:ascii="Arial" w:hAnsi="Arial"/>
          <w:b/>
          <w:sz w:val="28"/>
        </w:rPr>
        <w:tab/>
      </w:r>
      <w:r w:rsidR="00530C98">
        <w:rPr>
          <w:bCs/>
        </w:rPr>
        <w:t>March 13, 2018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Version:</w:t>
      </w:r>
      <w:r>
        <w:rPr>
          <w:rFonts w:ascii="Arial" w:hAnsi="Arial"/>
          <w:b/>
        </w:rPr>
        <w:tab/>
      </w:r>
      <w:r w:rsidR="00530C98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Authors:</w:t>
      </w:r>
      <w:r>
        <w:tab/>
      </w:r>
      <w:r w:rsidR="00530C98">
        <w:rPr>
          <w:bCs/>
        </w:rPr>
        <w:t>Moran and others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 w:rsidRPr="009129D2">
        <w:rPr>
          <w:rFonts w:ascii="Tahoma" w:hAnsi="Tahoma" w:cs="Tahoma"/>
          <w:b/>
          <w:sz w:val="22"/>
          <w:szCs w:val="22"/>
        </w:rPr>
        <w:t>Subject:</w:t>
      </w:r>
      <w:r>
        <w:rPr>
          <w:rFonts w:ascii="Arial" w:hAnsi="Arial"/>
          <w:b/>
        </w:rPr>
        <w:tab/>
      </w:r>
      <w:r w:rsidR="00530C98">
        <w:rPr>
          <w:bCs/>
        </w:rPr>
        <w:t>Childhood trauma-informed policy and practices task force</w:t>
      </w:r>
    </w:p>
    <w:p w:rsidR="002B114A" w:rsidRPr="00904AA6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rFonts w:ascii="Tahoma" w:hAnsi="Tahoma" w:cs="Tahoma"/>
          <w:sz w:val="22"/>
          <w:szCs w:val="22"/>
        </w:rPr>
      </w:pPr>
      <w:r>
        <w:rPr>
          <w:rFonts w:ascii="Arial" w:hAnsi="Arial"/>
          <w:b/>
        </w:rPr>
        <w:tab/>
      </w:r>
      <w:r w:rsidRPr="00904AA6">
        <w:rPr>
          <w:rFonts w:ascii="Tahoma" w:hAnsi="Tahoma" w:cs="Tahoma"/>
          <w:b/>
          <w:sz w:val="22"/>
          <w:szCs w:val="22"/>
        </w:rPr>
        <w:t>Analyst:</w:t>
      </w:r>
      <w:r w:rsidRPr="00904AA6">
        <w:rPr>
          <w:rFonts w:ascii="Tahoma" w:hAnsi="Tahoma" w:cs="Tahoma"/>
          <w:sz w:val="22"/>
          <w:szCs w:val="22"/>
        </w:rPr>
        <w:tab/>
      </w:r>
      <w:r w:rsidR="00D14C6F">
        <w:rPr>
          <w:bCs/>
        </w:rPr>
        <w:t>Sarah Sunderman</w:t>
      </w:r>
      <w:r w:rsidRPr="00904AA6">
        <w:rPr>
          <w:rFonts w:ascii="Tahoma" w:hAnsi="Tahoma" w:cs="Tahoma"/>
          <w:sz w:val="22"/>
          <w:szCs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</w:t>
      </w:r>
      <w:r w:rsidR="00AD17F7">
        <w:rPr>
          <w:sz w:val="22"/>
        </w:rPr>
        <w:t>ite at: www.house.mn/hrd/</w:t>
      </w:r>
      <w:r>
        <w:rPr>
          <w:sz w:val="22"/>
        </w:rPr>
        <w:t>.</w:t>
      </w:r>
    </w:p>
    <w:p w:rsidR="002B114A" w:rsidRDefault="00B911B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27305"/>
                <wp:effectExtent l="0" t="3175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63E87" id="Rectangle 13" o:spid="_x0000_s1026" style="position:absolute;margin-left:36pt;margin-top:0;width:540pt;height:2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2B114A" w:rsidRDefault="00EE1160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 xml:space="preserve">This bill would require the establishment of a task force to create childhood trauma-informed policies and practices, reduce children’s exposure to adverse childhood experiences (ACEs), and address racial and ethnic disparities related to family health and well-being. </w:t>
      </w:r>
    </w:p>
    <w:tbl>
      <w:tblPr>
        <w:tblW w:w="10296" w:type="dxa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 w:rsidP="00EE5435">
            <w:pPr>
              <w:pStyle w:val="Sectionnumber"/>
              <w:spacing w:before="0" w:beforeAutospacing="0" w:after="120" w:afterAutospacing="0"/>
            </w:pPr>
          </w:p>
        </w:tc>
        <w:tc>
          <w:tcPr>
            <w:tcW w:w="9101" w:type="dxa"/>
          </w:tcPr>
          <w:p w:rsidR="002B114A" w:rsidRDefault="00530C98" w:rsidP="00EE5435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  <w:bCs/>
              </w:rPr>
            </w:pPr>
            <w:r>
              <w:rPr>
                <w:bCs/>
              </w:rPr>
              <w:t xml:space="preserve">Task force on childhood trauma-informed policy and practices. </w:t>
            </w:r>
          </w:p>
          <w:p w:rsidR="00530C98" w:rsidRDefault="002C2D82" w:rsidP="002C2D82">
            <w:pPr>
              <w:pStyle w:val="Sectionnumber"/>
              <w:numPr>
                <w:ilvl w:val="0"/>
                <w:numId w:val="0"/>
              </w:numPr>
              <w:tabs>
                <w:tab w:val="left" w:pos="965"/>
              </w:tabs>
              <w:spacing w:before="0" w:beforeAutospacing="0" w:after="120" w:afterAutospacing="0"/>
              <w:ind w:left="605" w:hanging="14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</w:t>
            </w:r>
            <w:r>
              <w:rPr>
                <w:bCs/>
              </w:rPr>
              <w:t xml:space="preserve">Subd. </w:t>
            </w:r>
            <w:r w:rsidR="00530C98" w:rsidRPr="002C2D82">
              <w:rPr>
                <w:bCs/>
              </w:rPr>
              <w:t xml:space="preserve">1. </w:t>
            </w:r>
            <w:r w:rsidR="00530C98">
              <w:rPr>
                <w:bCs/>
              </w:rPr>
              <w:t xml:space="preserve">Establishment. </w:t>
            </w:r>
            <w:r w:rsidR="00530C98">
              <w:rPr>
                <w:b w:val="0"/>
                <w:bCs/>
              </w:rPr>
              <w:t xml:space="preserve">Requires the commissioner of human services to establish and appoint a task force on trauma-informed policy and practice, and reduce children’s exposure to </w:t>
            </w:r>
            <w:r w:rsidR="00EE1160">
              <w:rPr>
                <w:b w:val="0"/>
                <w:bCs/>
              </w:rPr>
              <w:t>ACEs</w:t>
            </w:r>
            <w:r w:rsidR="00530C98">
              <w:rPr>
                <w:b w:val="0"/>
                <w:bCs/>
              </w:rPr>
              <w:t>. Lists the members of the task force.</w:t>
            </w:r>
          </w:p>
          <w:p w:rsidR="00530C98" w:rsidRDefault="002C2D82" w:rsidP="002C2D82">
            <w:pPr>
              <w:pStyle w:val="Sectionnumber"/>
              <w:numPr>
                <w:ilvl w:val="0"/>
                <w:numId w:val="0"/>
              </w:numPr>
              <w:tabs>
                <w:tab w:val="left" w:pos="965"/>
              </w:tabs>
              <w:spacing w:before="0" w:beforeAutospacing="0" w:after="120" w:afterAutospacing="0"/>
              <w:ind w:left="605" w:hanging="14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</w:t>
            </w:r>
            <w:r>
              <w:rPr>
                <w:bCs/>
              </w:rPr>
              <w:t xml:space="preserve">Subd. </w:t>
            </w:r>
            <w:r w:rsidR="00530C98" w:rsidRPr="002C2D82">
              <w:rPr>
                <w:bCs/>
              </w:rPr>
              <w:t>2.</w:t>
            </w:r>
            <w:r w:rsidR="00530C98">
              <w:rPr>
                <w:b w:val="0"/>
                <w:bCs/>
              </w:rPr>
              <w:t xml:space="preserve"> </w:t>
            </w:r>
            <w:r w:rsidR="00530C98">
              <w:rPr>
                <w:bCs/>
              </w:rPr>
              <w:t xml:space="preserve">Staff. </w:t>
            </w:r>
            <w:r w:rsidR="00530C98">
              <w:rPr>
                <w:b w:val="0"/>
                <w:bCs/>
              </w:rPr>
              <w:t>Requires the commissioner of human services to provide meeting space, support staff, and administrative services.</w:t>
            </w:r>
          </w:p>
          <w:p w:rsidR="00530C98" w:rsidRDefault="002C2D82" w:rsidP="002C2D82">
            <w:pPr>
              <w:pStyle w:val="Sectionnumber"/>
              <w:numPr>
                <w:ilvl w:val="0"/>
                <w:numId w:val="0"/>
              </w:numPr>
              <w:tabs>
                <w:tab w:val="left" w:pos="965"/>
              </w:tabs>
              <w:spacing w:before="0" w:beforeAutospacing="0" w:after="120" w:afterAutospacing="0"/>
              <w:ind w:left="605" w:hanging="14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</w:t>
            </w:r>
            <w:r>
              <w:rPr>
                <w:bCs/>
              </w:rPr>
              <w:t xml:space="preserve">Subd. </w:t>
            </w:r>
            <w:r w:rsidR="00530C98" w:rsidRPr="002C2D82">
              <w:rPr>
                <w:bCs/>
              </w:rPr>
              <w:t>3.</w:t>
            </w:r>
            <w:r w:rsidR="00530C98">
              <w:rPr>
                <w:b w:val="0"/>
                <w:bCs/>
              </w:rPr>
              <w:t xml:space="preserve"> </w:t>
            </w:r>
            <w:r w:rsidR="00530C98">
              <w:rPr>
                <w:bCs/>
              </w:rPr>
              <w:t xml:space="preserve">Duties. </w:t>
            </w:r>
            <w:r w:rsidR="00530C98">
              <w:rPr>
                <w:b w:val="0"/>
                <w:bCs/>
              </w:rPr>
              <w:t>Requires the task force to</w:t>
            </w:r>
            <w:r w:rsidR="00EE1160">
              <w:rPr>
                <w:b w:val="0"/>
                <w:bCs/>
              </w:rPr>
              <w:t>:</w:t>
            </w:r>
            <w:r w:rsidR="00530C98">
              <w:rPr>
                <w:b w:val="0"/>
                <w:bCs/>
              </w:rPr>
              <w:t xml:space="preserve"> (1) engage </w:t>
            </w:r>
            <w:r w:rsidR="00EE1160">
              <w:rPr>
                <w:b w:val="0"/>
                <w:bCs/>
              </w:rPr>
              <w:t>the human services, education, public health, and justice systems</w:t>
            </w:r>
            <w:r w:rsidR="00530C98">
              <w:rPr>
                <w:b w:val="0"/>
                <w:bCs/>
              </w:rPr>
              <w:t xml:space="preserve"> to create trauma-informed policy and practices, prevent and reduce ACEs, and support </w:t>
            </w:r>
            <w:r w:rsidR="00EE1160">
              <w:rPr>
                <w:b w:val="0"/>
                <w:bCs/>
              </w:rPr>
              <w:t>family</w:t>
            </w:r>
            <w:r w:rsidR="00530C98">
              <w:rPr>
                <w:b w:val="0"/>
                <w:bCs/>
              </w:rPr>
              <w:t xml:space="preserve"> health and well-being; and (2) identify social determinants of family health and well-being, and recommend solutions </w:t>
            </w:r>
            <w:r>
              <w:rPr>
                <w:b w:val="0"/>
                <w:bCs/>
              </w:rPr>
              <w:t xml:space="preserve">to </w:t>
            </w:r>
            <w:r w:rsidR="00530C98">
              <w:rPr>
                <w:b w:val="0"/>
                <w:bCs/>
              </w:rPr>
              <w:t>eliminate racial and ethnic disparities in Minnesota.</w:t>
            </w:r>
          </w:p>
          <w:p w:rsidR="00530C98" w:rsidRDefault="002C2D82" w:rsidP="002C2D82">
            <w:pPr>
              <w:pStyle w:val="Sectionnumber"/>
              <w:numPr>
                <w:ilvl w:val="0"/>
                <w:numId w:val="0"/>
              </w:numPr>
              <w:tabs>
                <w:tab w:val="left" w:pos="965"/>
              </w:tabs>
              <w:spacing w:before="0" w:beforeAutospacing="0" w:after="120" w:afterAutospacing="0"/>
              <w:ind w:left="605" w:hanging="14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</w:t>
            </w:r>
            <w:r>
              <w:rPr>
                <w:bCs/>
              </w:rPr>
              <w:t xml:space="preserve">Subd. </w:t>
            </w:r>
            <w:r w:rsidR="00530C98" w:rsidRPr="002C2D82">
              <w:rPr>
                <w:bCs/>
              </w:rPr>
              <w:t xml:space="preserve">4. </w:t>
            </w:r>
            <w:r w:rsidR="00530C98">
              <w:rPr>
                <w:bCs/>
              </w:rPr>
              <w:t xml:space="preserve">Report. </w:t>
            </w:r>
            <w:r w:rsidR="00EE1160">
              <w:rPr>
                <w:b w:val="0"/>
                <w:bCs/>
              </w:rPr>
              <w:t>Requires the task force to submit a report on its results and policy recommendations to the relevant legislative committees, by January 15, 2019.</w:t>
            </w:r>
            <w:r>
              <w:rPr>
                <w:b w:val="0"/>
                <w:bCs/>
              </w:rPr>
              <w:br/>
            </w:r>
          </w:p>
          <w:p w:rsidR="00EE1160" w:rsidRDefault="002C2D82" w:rsidP="002C2D82">
            <w:pPr>
              <w:pStyle w:val="Sectionnumber"/>
              <w:numPr>
                <w:ilvl w:val="0"/>
                <w:numId w:val="0"/>
              </w:numPr>
              <w:tabs>
                <w:tab w:val="left" w:pos="965"/>
              </w:tabs>
              <w:spacing w:before="0" w:beforeAutospacing="0" w:after="120" w:afterAutospacing="0"/>
              <w:ind w:left="605" w:hanging="14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</w:t>
            </w:r>
            <w:r>
              <w:rPr>
                <w:bCs/>
              </w:rPr>
              <w:t xml:space="preserve">Subd. </w:t>
            </w:r>
            <w:r w:rsidR="00EE1160" w:rsidRPr="002C2D82">
              <w:rPr>
                <w:bCs/>
              </w:rPr>
              <w:t>5.</w:t>
            </w:r>
            <w:r w:rsidR="00EE1160">
              <w:rPr>
                <w:bCs/>
              </w:rPr>
              <w:t xml:space="preserve"> Expiration. </w:t>
            </w:r>
            <w:r w:rsidR="00EE1160">
              <w:rPr>
                <w:b w:val="0"/>
                <w:bCs/>
              </w:rPr>
              <w:t>Specifies that the task force expires when the report is submitted.</w:t>
            </w:r>
          </w:p>
          <w:p w:rsidR="00EE1160" w:rsidRPr="00EE1160" w:rsidRDefault="00EE1160" w:rsidP="00EE5435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 w:val="0"/>
                <w:bCs/>
              </w:rPr>
              <w:lastRenderedPageBreak/>
              <w:t>Makes this section effective the day following final enactment.</w:t>
            </w:r>
          </w:p>
        </w:tc>
      </w:tr>
    </w:tbl>
    <w:p w:rsidR="002B114A" w:rsidRDefault="002B114A" w:rsidP="00EE1160">
      <w:pPr>
        <w:pStyle w:val="Sectionnumber"/>
        <w:numPr>
          <w:ilvl w:val="0"/>
          <w:numId w:val="0"/>
        </w:numPr>
        <w:sectPr w:rsidR="002B114A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AF1245" w:rsidRDefault="00AF1245" w:rsidP="006A57F0">
      <w:pPr>
        <w:spacing w:after="0"/>
      </w:pPr>
    </w:p>
    <w:sectPr w:rsidR="00AF1245" w:rsidSect="00560958">
      <w:type w:val="continuous"/>
      <w:pgSz w:w="12240" w:h="15840" w:code="1"/>
      <w:pgMar w:top="720" w:right="1080" w:bottom="576" w:left="108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C98" w:rsidRDefault="00530C98">
      <w:pPr>
        <w:spacing w:after="0"/>
      </w:pPr>
      <w:r>
        <w:separator/>
      </w:r>
    </w:p>
  </w:endnote>
  <w:endnote w:type="continuationSeparator" w:id="0">
    <w:p w:rsidR="00530C98" w:rsidRDefault="00530C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-224790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8906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14.75pt" to="522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F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" strokeweight="1.5pt"/>
          </w:pict>
        </mc:Fallback>
      </mc:AlternateContent>
    </w:r>
  </w:p>
  <w:p w:rsidR="00560958" w:rsidRDefault="0002163B" w:rsidP="00560958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="00560958">
      <w:rPr>
        <w:rFonts w:ascii="Arial" w:hAnsi="Arial"/>
      </w:rPr>
      <w:fldChar w:fldCharType="begin"/>
    </w:r>
    <w:r w:rsidR="00560958">
      <w:rPr>
        <w:rFonts w:ascii="Arial" w:hAnsi="Arial"/>
      </w:rPr>
      <w:instrText>ADVANCE \u2</w:instrText>
    </w:r>
    <w:r w:rsidR="00560958">
      <w:rPr>
        <w:rFonts w:ascii="Arial" w:hAnsi="Arial"/>
      </w:rPr>
      <w:fldChar w:fldCharType="end"/>
    </w:r>
    <w:r w:rsidR="00560958" w:rsidRPr="009129D2">
      <w:rPr>
        <w:rFonts w:ascii="Tahoma" w:hAnsi="Tahoma" w:cs="Tahoma"/>
        <w:sz w:val="18"/>
        <w:szCs w:val="18"/>
      </w:rPr>
      <w:t>Research Department</w:t>
    </w:r>
    <w:r w:rsidR="00560958" w:rsidRPr="009129D2">
      <w:rPr>
        <w:rFonts w:ascii="Tahoma" w:hAnsi="Tahoma" w:cs="Tahoma"/>
        <w:sz w:val="18"/>
        <w:szCs w:val="18"/>
      </w:rPr>
      <w:tab/>
      <w:t>Minnesota House of Representatives</w:t>
    </w:r>
    <w:r w:rsidR="00560958" w:rsidRPr="009129D2">
      <w:rPr>
        <w:rFonts w:ascii="Tahoma" w:hAnsi="Tahoma" w:cs="Tahoma"/>
        <w:sz w:val="18"/>
        <w:szCs w:val="18"/>
      </w:rPr>
      <w:tab/>
      <w:t>600 State Office Building</w:t>
    </w:r>
  </w:p>
  <w:p w:rsidR="002B114A" w:rsidRDefault="00560958" w:rsidP="00560958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530C98">
      <w:rPr>
        <w:noProof/>
        <w:snapToGrid w:val="0"/>
        <w:sz w:val="18"/>
      </w:rPr>
      <w:t>Document1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>
      <w:rPr>
        <w:snapToGrid w:val="0"/>
        <w:sz w:val="18"/>
      </w:rPr>
      <w:fldChar w:fldCharType="separate"/>
    </w:r>
    <w:r w:rsidR="00530C98">
      <w:rPr>
        <w:noProof/>
        <w:snapToGrid w:val="0"/>
        <w:sz w:val="18"/>
      </w:rPr>
      <w:t>12/9/2016 12:58:00 PM</w:t>
    </w:r>
    <w:r>
      <w:rPr>
        <w:snapToGrid w:val="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20378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45pt,14.75pt" to="521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eM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" strokeweight="1.5pt"/>
          </w:pict>
        </mc:Fallback>
      </mc:AlternateContent>
    </w:r>
  </w:p>
  <w:p w:rsidR="002B114A" w:rsidRDefault="0002163B" w:rsidP="0031102F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="002B114A" w:rsidRPr="009129D2">
      <w:rPr>
        <w:rFonts w:ascii="Tahoma" w:hAnsi="Tahoma" w:cs="Tahoma"/>
        <w:sz w:val="18"/>
        <w:szCs w:val="18"/>
      </w:rPr>
      <w:t>Research Department</w:t>
    </w:r>
    <w:r w:rsidR="002B114A" w:rsidRPr="009129D2">
      <w:rPr>
        <w:rFonts w:ascii="Tahoma" w:hAnsi="Tahoma" w:cs="Tahoma"/>
        <w:sz w:val="18"/>
        <w:szCs w:val="18"/>
      </w:rPr>
      <w:tab/>
      <w:t>Minnesota House of Representatives</w:t>
    </w:r>
    <w:r w:rsidR="002B114A" w:rsidRPr="009129D2">
      <w:rPr>
        <w:rFonts w:ascii="Tahoma" w:hAnsi="Tahoma" w:cs="Tahoma"/>
        <w:sz w:val="18"/>
        <w:szCs w:val="18"/>
      </w:rPr>
      <w:tab/>
      <w:t>600 State Office Building</w:t>
    </w:r>
  </w:p>
  <w:p w:rsidR="002B114A" w:rsidRDefault="002B114A" w:rsidP="006A57F0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02163B">
      <w:rPr>
        <w:snapToGrid w:val="0"/>
        <w:sz w:val="18"/>
      </w:rPr>
      <w:fldChar w:fldCharType="separate"/>
    </w:r>
    <w:r w:rsidR="00530C98">
      <w:rPr>
        <w:noProof/>
        <w:snapToGrid w:val="0"/>
        <w:sz w:val="18"/>
      </w:rPr>
      <w:t>Document1</w:t>
    </w:r>
    <w:r w:rsidR="0002163B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02163B">
      <w:rPr>
        <w:snapToGrid w:val="0"/>
        <w:sz w:val="18"/>
      </w:rPr>
      <w:fldChar w:fldCharType="separate"/>
    </w:r>
    <w:r w:rsidR="00530C98">
      <w:rPr>
        <w:noProof/>
        <w:snapToGrid w:val="0"/>
        <w:sz w:val="18"/>
      </w:rPr>
      <w:t>12/9/2016 12:58:00 PM</w:t>
    </w:r>
    <w:r w:rsidR="0002163B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C98" w:rsidRDefault="00530C98">
      <w:pPr>
        <w:spacing w:after="0"/>
      </w:pPr>
      <w:r>
        <w:separator/>
      </w:r>
    </w:p>
  </w:footnote>
  <w:footnote w:type="continuationSeparator" w:id="0">
    <w:p w:rsidR="00530C98" w:rsidRDefault="00530C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AAF" w:rsidRDefault="004E2AAF">
    <w:pPr>
      <w:pStyle w:val="Header"/>
    </w:pPr>
    <w:r w:rsidRPr="004E2AAF">
      <w:t>H.F. 3246</w:t>
    </w:r>
    <w:r w:rsidRPr="004E2AAF">
      <w:tab/>
    </w:r>
    <w:r>
      <w:tab/>
    </w:r>
    <w:r w:rsidRPr="004E2AAF">
      <w:t>March 13, 2018</w:t>
    </w:r>
  </w:p>
  <w:p w:rsidR="004E2AAF" w:rsidRDefault="004E2AAF">
    <w:pPr>
      <w:pStyle w:val="Header"/>
    </w:pPr>
    <w:r w:rsidRPr="004E2AAF">
      <w:t>Version:</w:t>
    </w:r>
    <w:r w:rsidRPr="004E2AAF">
      <w:tab/>
      <w:t>As introduced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E2AAF" w:rsidRDefault="004E2AAF">
    <w:pPr>
      <w:pStyle w:val="Header"/>
    </w:pPr>
  </w:p>
  <w:p w:rsidR="004E2AAF" w:rsidRPr="004E2AAF" w:rsidRDefault="004E2AAF" w:rsidP="004E2AAF">
    <w:pPr>
      <w:pStyle w:val="Header"/>
      <w:spacing w:after="120"/>
      <w:rPr>
        <w:b/>
        <w:sz w:val="24"/>
        <w:u w:val="single"/>
      </w:rPr>
    </w:pPr>
    <w:r>
      <w:rPr>
        <w:b/>
        <w:sz w:val="24"/>
        <w:u w:val="single"/>
      </w:rPr>
      <w:t>Section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 w15:restartNumberingAfterBreak="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 w15:restartNumberingAfterBreak="0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98"/>
    <w:rsid w:val="00017133"/>
    <w:rsid w:val="0002163B"/>
    <w:rsid w:val="000774FA"/>
    <w:rsid w:val="000A1513"/>
    <w:rsid w:val="00162B42"/>
    <w:rsid w:val="0026479C"/>
    <w:rsid w:val="00266735"/>
    <w:rsid w:val="00266B4B"/>
    <w:rsid w:val="0028618B"/>
    <w:rsid w:val="00290C36"/>
    <w:rsid w:val="002B114A"/>
    <w:rsid w:val="002C2D82"/>
    <w:rsid w:val="0030374E"/>
    <w:rsid w:val="0031102F"/>
    <w:rsid w:val="003160E0"/>
    <w:rsid w:val="003D120D"/>
    <w:rsid w:val="00405797"/>
    <w:rsid w:val="00475268"/>
    <w:rsid w:val="004C51B2"/>
    <w:rsid w:val="004E2AAF"/>
    <w:rsid w:val="00512097"/>
    <w:rsid w:val="00530C98"/>
    <w:rsid w:val="00555213"/>
    <w:rsid w:val="00560958"/>
    <w:rsid w:val="005E4BEA"/>
    <w:rsid w:val="00616D28"/>
    <w:rsid w:val="00630E3C"/>
    <w:rsid w:val="006719EA"/>
    <w:rsid w:val="006A57F0"/>
    <w:rsid w:val="006B1887"/>
    <w:rsid w:val="006F13AE"/>
    <w:rsid w:val="006F7B30"/>
    <w:rsid w:val="00711F6B"/>
    <w:rsid w:val="00721873"/>
    <w:rsid w:val="0074665F"/>
    <w:rsid w:val="007673C2"/>
    <w:rsid w:val="00784AAC"/>
    <w:rsid w:val="007B116E"/>
    <w:rsid w:val="007C22D8"/>
    <w:rsid w:val="007C5461"/>
    <w:rsid w:val="007F37AD"/>
    <w:rsid w:val="008345F2"/>
    <w:rsid w:val="008424A4"/>
    <w:rsid w:val="00904AA6"/>
    <w:rsid w:val="0091055C"/>
    <w:rsid w:val="009129D2"/>
    <w:rsid w:val="0098613B"/>
    <w:rsid w:val="0099298F"/>
    <w:rsid w:val="009B3D82"/>
    <w:rsid w:val="009B799F"/>
    <w:rsid w:val="009D4386"/>
    <w:rsid w:val="009F572B"/>
    <w:rsid w:val="00A22D30"/>
    <w:rsid w:val="00A5364A"/>
    <w:rsid w:val="00A76D6A"/>
    <w:rsid w:val="00A8513B"/>
    <w:rsid w:val="00A96A3C"/>
    <w:rsid w:val="00AA551F"/>
    <w:rsid w:val="00AB6828"/>
    <w:rsid w:val="00AB78BA"/>
    <w:rsid w:val="00AD17F7"/>
    <w:rsid w:val="00AE465F"/>
    <w:rsid w:val="00AF1245"/>
    <w:rsid w:val="00AF3D8E"/>
    <w:rsid w:val="00B47BAB"/>
    <w:rsid w:val="00B80D2B"/>
    <w:rsid w:val="00B81146"/>
    <w:rsid w:val="00B911B2"/>
    <w:rsid w:val="00BE5753"/>
    <w:rsid w:val="00BF28E5"/>
    <w:rsid w:val="00CB0595"/>
    <w:rsid w:val="00CB22A1"/>
    <w:rsid w:val="00CC53F6"/>
    <w:rsid w:val="00D14C6F"/>
    <w:rsid w:val="00D53003"/>
    <w:rsid w:val="00D87E86"/>
    <w:rsid w:val="00DB114F"/>
    <w:rsid w:val="00DB5C9E"/>
    <w:rsid w:val="00E154A4"/>
    <w:rsid w:val="00E25632"/>
    <w:rsid w:val="00E45A55"/>
    <w:rsid w:val="00E56020"/>
    <w:rsid w:val="00EC4E16"/>
    <w:rsid w:val="00EE1160"/>
    <w:rsid w:val="00EE5435"/>
    <w:rsid w:val="00EF6E58"/>
    <w:rsid w:val="00F43E68"/>
    <w:rsid w:val="00F44D8C"/>
    <w:rsid w:val="00F5014C"/>
    <w:rsid w:val="00F609B2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7DA36F5-D915-4397-9F85-46B688F1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8</TotalTime>
  <Pages>2</Pages>
  <Words>266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Reps., Research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Children</dc:subject>
  <dc:creator>Sarah Sunderman</dc:creator>
  <cp:keywords/>
  <dc:description/>
  <cp:lastModifiedBy>Julie Fastner</cp:lastModifiedBy>
  <cp:revision>4</cp:revision>
  <cp:lastPrinted>2016-12-09T17:58:00Z</cp:lastPrinted>
  <dcterms:created xsi:type="dcterms:W3CDTF">2018-03-13T19:02:00Z</dcterms:created>
  <dcterms:modified xsi:type="dcterms:W3CDTF">2018-03-13T19:06:00Z</dcterms:modified>
  <cp:category>Health and Human Services</cp:category>
</cp:coreProperties>
</file>