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B8E" w14:textId="05AA4222" w:rsidR="00183516" w:rsidRDefault="00183516">
      <w:r>
        <w:rPr>
          <w:noProof/>
        </w:rPr>
        <w:drawing>
          <wp:anchor distT="0" distB="0" distL="0" distR="0" simplePos="0" relativeHeight="251659264" behindDoc="0" locked="0" layoutInCell="1" hidden="0" allowOverlap="1" wp14:anchorId="4E0C160B" wp14:editId="0B4C686A">
            <wp:simplePos x="0" y="0"/>
            <wp:positionH relativeFrom="margin">
              <wp:align>center</wp:align>
            </wp:positionH>
            <wp:positionV relativeFrom="paragraph">
              <wp:posOffset>0</wp:posOffset>
            </wp:positionV>
            <wp:extent cx="2428875" cy="704850"/>
            <wp:effectExtent l="0" t="0" r="9525" b="0"/>
            <wp:wrapSquare wrapText="bothSides" distT="0" distB="0" distL="0" distR="0"/>
            <wp:docPr id="1" name="image1.png" descr="http://meda.net/MP/wp-content/uploads/2018/01/Catalyst-Logo-600x332.png"/>
            <wp:cNvGraphicFramePr/>
            <a:graphic xmlns:a="http://schemas.openxmlformats.org/drawingml/2006/main">
              <a:graphicData uri="http://schemas.openxmlformats.org/drawingml/2006/picture">
                <pic:pic xmlns:pic="http://schemas.openxmlformats.org/drawingml/2006/picture">
                  <pic:nvPicPr>
                    <pic:cNvPr id="0" name="image1.png" descr="http://meda.net/MP/wp-content/uploads/2018/01/Catalyst-Logo-600x332.png"/>
                    <pic:cNvPicPr preferRelativeResize="0"/>
                  </pic:nvPicPr>
                  <pic:blipFill>
                    <a:blip r:embed="rId7"/>
                    <a:srcRect t="14168" b="24272"/>
                    <a:stretch>
                      <a:fillRect/>
                    </a:stretch>
                  </pic:blipFill>
                  <pic:spPr>
                    <a:xfrm>
                      <a:off x="0" y="0"/>
                      <a:ext cx="2428875" cy="704850"/>
                    </a:xfrm>
                    <a:prstGeom prst="rect">
                      <a:avLst/>
                    </a:prstGeom>
                    <a:ln/>
                  </pic:spPr>
                </pic:pic>
              </a:graphicData>
            </a:graphic>
            <wp14:sizeRelH relativeFrom="margin">
              <wp14:pctWidth>0</wp14:pctWidth>
            </wp14:sizeRelH>
            <wp14:sizeRelV relativeFrom="margin">
              <wp14:pctHeight>0</wp14:pctHeight>
            </wp14:sizeRelV>
          </wp:anchor>
        </w:drawing>
      </w:r>
    </w:p>
    <w:p w14:paraId="6C8C3A83" w14:textId="6FCADC69" w:rsidR="00183516" w:rsidRDefault="00183516" w:rsidP="00183516">
      <w:pPr>
        <w:tabs>
          <w:tab w:val="left" w:pos="1905"/>
        </w:tabs>
      </w:pPr>
      <w:r>
        <w:tab/>
      </w:r>
    </w:p>
    <w:p w14:paraId="4E96F242" w14:textId="787356C4" w:rsidR="00106797" w:rsidRPr="006B046F" w:rsidRDefault="001027A7" w:rsidP="00183516">
      <w:pPr>
        <w:tabs>
          <w:tab w:val="left" w:pos="1905"/>
        </w:tabs>
        <w:rPr>
          <w:rFonts w:cstheme="minorHAnsi"/>
        </w:rPr>
      </w:pPr>
      <w:r>
        <w:rPr>
          <w:rFonts w:cstheme="minorHAnsi"/>
          <w:noProof/>
        </w:rPr>
        <mc:AlternateContent>
          <mc:Choice Requires="wps">
            <w:drawing>
              <wp:anchor distT="0" distB="0" distL="114300" distR="114300" simplePos="0" relativeHeight="251660288" behindDoc="0" locked="0" layoutInCell="1" allowOverlap="1" wp14:anchorId="7BD4A63F" wp14:editId="348A7196">
                <wp:simplePos x="0" y="0"/>
                <wp:positionH relativeFrom="column">
                  <wp:posOffset>-200026</wp:posOffset>
                </wp:positionH>
                <wp:positionV relativeFrom="paragraph">
                  <wp:posOffset>228600</wp:posOffset>
                </wp:positionV>
                <wp:extent cx="6886575" cy="8191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6886575" cy="819150"/>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ADDFF" id="Rectangle 8" o:spid="_x0000_s1026" style="position:absolute;margin-left:-15.75pt;margin-top:18pt;width:542.25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" filled="f" strokecolor="#c00000" strokeweight="1pt"/>
            </w:pict>
          </mc:Fallback>
        </mc:AlternateContent>
      </w:r>
    </w:p>
    <w:p w14:paraId="568ED526" w14:textId="64CC4D62" w:rsidR="00106797" w:rsidRPr="006B046F" w:rsidRDefault="003118AD" w:rsidP="006B046F">
      <w:pPr>
        <w:tabs>
          <w:tab w:val="left" w:pos="1905"/>
        </w:tabs>
        <w:spacing w:after="0" w:line="240" w:lineRule="auto"/>
        <w:rPr>
          <w:rFonts w:cstheme="minorHAnsi"/>
        </w:rPr>
      </w:pPr>
      <w:r w:rsidRPr="006B046F">
        <w:rPr>
          <w:rFonts w:cstheme="minorHAnsi"/>
          <w:b/>
          <w:bCs/>
        </w:rPr>
        <w:t xml:space="preserve">Catalyst </w:t>
      </w:r>
      <w:r w:rsidRPr="006B046F">
        <w:rPr>
          <w:rFonts w:cstheme="minorHAnsi"/>
        </w:rPr>
        <w:t xml:space="preserve">is a consortium of </w:t>
      </w:r>
      <w:r w:rsidRPr="006B046F">
        <w:rPr>
          <w:rFonts w:cstheme="minorHAnsi"/>
        </w:rPr>
        <w:t>five</w:t>
      </w:r>
      <w:r w:rsidRPr="006B046F">
        <w:rPr>
          <w:rFonts w:cstheme="minorHAnsi"/>
        </w:rPr>
        <w:t xml:space="preserve"> Minnesota-based organizations that support minority entrepreneurs and their businesses</w:t>
      </w:r>
      <w:r w:rsidRPr="006B046F">
        <w:rPr>
          <w:rFonts w:cstheme="minorHAnsi"/>
        </w:rPr>
        <w:t xml:space="preserve"> through providing technical assistance, </w:t>
      </w:r>
      <w:r w:rsidR="008427D5" w:rsidRPr="006B046F">
        <w:rPr>
          <w:rFonts w:cstheme="minorHAnsi"/>
        </w:rPr>
        <w:t>consulting,</w:t>
      </w:r>
      <w:r w:rsidRPr="006B046F">
        <w:rPr>
          <w:rFonts w:cstheme="minorHAnsi"/>
        </w:rPr>
        <w:t xml:space="preserve"> and funding resources.</w:t>
      </w:r>
    </w:p>
    <w:p w14:paraId="13A0396C" w14:textId="77777777" w:rsidR="002B7522" w:rsidRDefault="002B7522" w:rsidP="006B046F">
      <w:pPr>
        <w:tabs>
          <w:tab w:val="left" w:pos="1905"/>
        </w:tabs>
        <w:spacing w:after="0" w:line="240" w:lineRule="auto"/>
        <w:rPr>
          <w:rFonts w:cstheme="minorHAnsi"/>
          <w:b/>
          <w:bCs/>
        </w:rPr>
      </w:pPr>
    </w:p>
    <w:p w14:paraId="43005E72" w14:textId="08E9FD1F" w:rsidR="00106797" w:rsidRDefault="00764892" w:rsidP="006B046F">
      <w:pPr>
        <w:tabs>
          <w:tab w:val="left" w:pos="1905"/>
        </w:tabs>
        <w:spacing w:after="0" w:line="240" w:lineRule="auto"/>
        <w:rPr>
          <w:rFonts w:cstheme="minorHAnsi"/>
        </w:rPr>
      </w:pPr>
      <w:r w:rsidRPr="006B046F">
        <w:rPr>
          <w:rFonts w:cstheme="minorHAnsi"/>
          <w:b/>
          <w:bCs/>
        </w:rPr>
        <w:t>Our m</w:t>
      </w:r>
      <w:r w:rsidR="00106797" w:rsidRPr="006B046F">
        <w:rPr>
          <w:rFonts w:cstheme="minorHAnsi"/>
          <w:b/>
          <w:bCs/>
        </w:rPr>
        <w:t>ission</w:t>
      </w:r>
      <w:r w:rsidRPr="006B046F">
        <w:rPr>
          <w:rFonts w:cstheme="minorHAnsi"/>
        </w:rPr>
        <w:t xml:space="preserve"> is simple</w:t>
      </w:r>
      <w:r w:rsidR="006B046F" w:rsidRPr="006B046F">
        <w:rPr>
          <w:rFonts w:cstheme="minorHAnsi"/>
        </w:rPr>
        <w:t xml:space="preserve"> - to</w:t>
      </w:r>
      <w:r w:rsidR="00106797" w:rsidRPr="006B046F">
        <w:rPr>
          <w:rFonts w:cstheme="minorHAnsi"/>
        </w:rPr>
        <w:t xml:space="preserve"> help Minority Business Enterprises Succeed</w:t>
      </w:r>
      <w:r w:rsidRPr="006B046F">
        <w:rPr>
          <w:rFonts w:cstheme="minorHAnsi"/>
        </w:rPr>
        <w:t>.</w:t>
      </w:r>
    </w:p>
    <w:p w14:paraId="33D976EE" w14:textId="433988BB" w:rsidR="002B7522" w:rsidRPr="002B7522" w:rsidRDefault="002B7522" w:rsidP="002B7522">
      <w:pPr>
        <w:tabs>
          <w:tab w:val="left" w:pos="1905"/>
        </w:tabs>
        <w:spacing w:after="0" w:line="240" w:lineRule="auto"/>
        <w:jc w:val="center"/>
        <w:rPr>
          <w:rFonts w:cstheme="minorHAnsi"/>
          <w:color w:val="2F5496" w:themeColor="accent1" w:themeShade="BF"/>
        </w:rPr>
      </w:pPr>
      <w:r w:rsidRPr="002B7522">
        <w:rPr>
          <w:rFonts w:cstheme="minorHAnsi"/>
          <w:color w:val="2F5496" w:themeColor="accent1" w:themeShade="BF"/>
        </w:rPr>
        <w:t>---</w:t>
      </w:r>
    </w:p>
    <w:p w14:paraId="6F10D52A" w14:textId="77777777" w:rsidR="006B046F" w:rsidRPr="006B046F" w:rsidRDefault="006B046F" w:rsidP="006B046F">
      <w:pPr>
        <w:pStyle w:val="NoSpacing"/>
        <w:jc w:val="both"/>
        <w:rPr>
          <w:rFonts w:cstheme="minorHAnsi"/>
          <w:b/>
          <w:sz w:val="24"/>
          <w:szCs w:val="24"/>
        </w:rPr>
      </w:pPr>
    </w:p>
    <w:p w14:paraId="2734190E" w14:textId="0C4FDE53" w:rsidR="00AD4419" w:rsidRPr="006B046F" w:rsidRDefault="00AD4419" w:rsidP="006B046F">
      <w:pPr>
        <w:pStyle w:val="NoSpacing"/>
        <w:jc w:val="both"/>
        <w:rPr>
          <w:rFonts w:cstheme="minorHAnsi"/>
          <w:b/>
          <w:sz w:val="24"/>
          <w:szCs w:val="24"/>
        </w:rPr>
      </w:pPr>
      <w:r w:rsidRPr="006B046F">
        <w:rPr>
          <w:rFonts w:cstheme="minorHAnsi"/>
          <w:noProof/>
          <w:sz w:val="24"/>
        </w:rPr>
        <w:drawing>
          <wp:inline distT="0" distB="0" distL="0" distR="0" wp14:anchorId="11AF2C88" wp14:editId="084C050C">
            <wp:extent cx="1123950" cy="466725"/>
            <wp:effectExtent l="0" t="0" r="0" b="9525"/>
            <wp:docPr id="7" name="Picture 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r="50159"/>
                    <a:stretch>
                      <a:fillRect/>
                    </a:stretch>
                  </pic:blipFill>
                  <pic:spPr bwMode="auto">
                    <a:xfrm>
                      <a:off x="0" y="0"/>
                      <a:ext cx="1123950" cy="466725"/>
                    </a:xfrm>
                    <a:prstGeom prst="rect">
                      <a:avLst/>
                    </a:prstGeom>
                    <a:noFill/>
                    <a:ln>
                      <a:noFill/>
                    </a:ln>
                  </pic:spPr>
                </pic:pic>
              </a:graphicData>
            </a:graphic>
          </wp:inline>
        </w:drawing>
      </w:r>
    </w:p>
    <w:p w14:paraId="71D1AF25" w14:textId="14B202C2" w:rsidR="00AD4419" w:rsidRPr="000A4314" w:rsidRDefault="00AD4419" w:rsidP="006B046F">
      <w:pPr>
        <w:pStyle w:val="NoSpacing"/>
        <w:jc w:val="both"/>
        <w:rPr>
          <w:rFonts w:cstheme="minorHAnsi"/>
          <w:sz w:val="23"/>
          <w:szCs w:val="23"/>
        </w:rPr>
      </w:pPr>
      <w:r w:rsidRPr="000A4314">
        <w:rPr>
          <w:rFonts w:cstheme="minorHAnsi"/>
          <w:b/>
          <w:sz w:val="23"/>
          <w:szCs w:val="23"/>
        </w:rPr>
        <w:t>African Economic Development Solutions (AEDS)</w:t>
      </w:r>
      <w:r w:rsidRPr="000A4314">
        <w:rPr>
          <w:rFonts w:cstheme="minorHAnsi"/>
          <w:sz w:val="23"/>
          <w:szCs w:val="23"/>
        </w:rPr>
        <w:t xml:space="preserve"> is a nonprofit organization that serves African immigrants in Minnesota. The mission of AEDS is building wealth within African immigrant communities to improve the economic status and quality of life of African immigrants in Minnesota.</w:t>
      </w:r>
    </w:p>
    <w:p w14:paraId="143923AB" w14:textId="77777777" w:rsidR="00AD4419" w:rsidRPr="000A4314" w:rsidRDefault="00AD4419" w:rsidP="006B046F">
      <w:pPr>
        <w:pStyle w:val="NoSpacing"/>
        <w:jc w:val="both"/>
        <w:rPr>
          <w:rFonts w:cstheme="minorHAnsi"/>
          <w:sz w:val="23"/>
          <w:szCs w:val="23"/>
        </w:rPr>
      </w:pPr>
    </w:p>
    <w:p w14:paraId="240CDF3C" w14:textId="77777777" w:rsidR="006B046F" w:rsidRPr="000A4314" w:rsidRDefault="00AD4419" w:rsidP="006B046F">
      <w:pPr>
        <w:spacing w:after="0" w:line="240" w:lineRule="auto"/>
        <w:rPr>
          <w:rFonts w:cstheme="minorHAnsi"/>
          <w:sz w:val="23"/>
          <w:szCs w:val="23"/>
        </w:rPr>
      </w:pPr>
      <w:r w:rsidRPr="000A4314">
        <w:rPr>
          <w:rFonts w:cstheme="minorHAnsi"/>
          <w:sz w:val="23"/>
          <w:szCs w:val="23"/>
          <w:u w:val="single"/>
        </w:rPr>
        <w:t>Gene Gelgelu</w:t>
      </w:r>
      <w:r w:rsidR="006B046F" w:rsidRPr="000A4314">
        <w:rPr>
          <w:rFonts w:cstheme="minorHAnsi"/>
          <w:sz w:val="23"/>
          <w:szCs w:val="23"/>
          <w:u w:val="single"/>
        </w:rPr>
        <w:t xml:space="preserve">, </w:t>
      </w:r>
      <w:r w:rsidR="006B046F" w:rsidRPr="000A4314">
        <w:rPr>
          <w:rFonts w:cstheme="minorHAnsi"/>
          <w:sz w:val="23"/>
          <w:szCs w:val="23"/>
        </w:rPr>
        <w:t>President + CEO, AEDS</w:t>
      </w:r>
    </w:p>
    <w:p w14:paraId="12C08E58" w14:textId="2E8935E4" w:rsidR="00AD4419" w:rsidRPr="000A4314" w:rsidRDefault="00AD4419" w:rsidP="006B046F">
      <w:pPr>
        <w:spacing w:after="0" w:line="240" w:lineRule="auto"/>
        <w:rPr>
          <w:rFonts w:cstheme="minorHAnsi"/>
          <w:sz w:val="23"/>
          <w:szCs w:val="23"/>
        </w:rPr>
      </w:pPr>
      <w:hyperlink r:id="rId9" w:history="1">
        <w:r w:rsidRPr="000A4314">
          <w:rPr>
            <w:rStyle w:val="Hyperlink"/>
            <w:rFonts w:cstheme="minorHAnsi"/>
            <w:sz w:val="23"/>
            <w:szCs w:val="23"/>
          </w:rPr>
          <w:t>www.aeds-mn.org</w:t>
        </w:r>
      </w:hyperlink>
    </w:p>
    <w:p w14:paraId="60E549C9" w14:textId="77777777" w:rsidR="009F463A" w:rsidRPr="000A4314" w:rsidRDefault="009F463A" w:rsidP="006B046F">
      <w:pPr>
        <w:spacing w:after="0" w:line="240" w:lineRule="auto"/>
        <w:rPr>
          <w:rFonts w:cstheme="minorHAnsi"/>
          <w:sz w:val="23"/>
          <w:szCs w:val="23"/>
        </w:rPr>
      </w:pPr>
    </w:p>
    <w:p w14:paraId="1E768503" w14:textId="77777777" w:rsidR="00AD4419" w:rsidRPr="000A4314" w:rsidRDefault="00AD4419" w:rsidP="006B046F">
      <w:pPr>
        <w:pStyle w:val="NoSpacing"/>
        <w:jc w:val="both"/>
        <w:rPr>
          <w:rFonts w:cstheme="minorHAnsi"/>
          <w:sz w:val="23"/>
          <w:szCs w:val="23"/>
        </w:rPr>
      </w:pPr>
    </w:p>
    <w:p w14:paraId="7D2B339B" w14:textId="26C6AA8A" w:rsidR="00AD4419" w:rsidRPr="000A4314" w:rsidRDefault="00AD4419" w:rsidP="006B046F">
      <w:pPr>
        <w:pStyle w:val="NoSpacing"/>
        <w:rPr>
          <w:rFonts w:cstheme="minorHAnsi"/>
          <w:sz w:val="23"/>
          <w:szCs w:val="23"/>
        </w:rPr>
      </w:pPr>
      <w:r w:rsidRPr="000A4314">
        <w:rPr>
          <w:rFonts w:cstheme="minorHAnsi"/>
          <w:noProof/>
          <w:sz w:val="23"/>
          <w:szCs w:val="23"/>
        </w:rPr>
        <w:drawing>
          <wp:inline distT="0" distB="0" distL="0" distR="0" wp14:anchorId="660F849E" wp14:editId="7C5F94B6">
            <wp:extent cx="733425" cy="495300"/>
            <wp:effectExtent l="0" t="0" r="9525" b="0"/>
            <wp:docPr id="6" name="Picture 6" descr="CRF Logo, Links to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F Logo, Links to Homep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3425" cy="495300"/>
                    </a:xfrm>
                    <a:prstGeom prst="rect">
                      <a:avLst/>
                    </a:prstGeom>
                    <a:noFill/>
                    <a:ln>
                      <a:noFill/>
                    </a:ln>
                  </pic:spPr>
                </pic:pic>
              </a:graphicData>
            </a:graphic>
          </wp:inline>
        </w:drawing>
      </w:r>
    </w:p>
    <w:p w14:paraId="43D986ED" w14:textId="1F1B246E" w:rsidR="00AD4419" w:rsidRPr="000A4314" w:rsidRDefault="00AD4419" w:rsidP="006B046F">
      <w:pPr>
        <w:pStyle w:val="NoSpacing"/>
        <w:rPr>
          <w:rStyle w:val="normaltextrun"/>
          <w:rFonts w:cstheme="minorHAnsi"/>
          <w:sz w:val="23"/>
          <w:szCs w:val="23"/>
        </w:rPr>
      </w:pPr>
      <w:r w:rsidRPr="000A4314">
        <w:rPr>
          <w:rFonts w:cstheme="minorHAnsi"/>
          <w:sz w:val="23"/>
          <w:szCs w:val="23"/>
        </w:rPr>
        <w:t xml:space="preserve">The </w:t>
      </w:r>
      <w:r w:rsidRPr="000A4314">
        <w:rPr>
          <w:rFonts w:cstheme="minorHAnsi"/>
          <w:b/>
          <w:sz w:val="23"/>
          <w:szCs w:val="23"/>
        </w:rPr>
        <w:t xml:space="preserve">Community Reinvestment Fund- USA </w:t>
      </w:r>
      <w:r w:rsidRPr="000A4314">
        <w:rPr>
          <w:rStyle w:val="normaltextrun"/>
          <w:rFonts w:cstheme="minorHAnsi"/>
          <w:sz w:val="23"/>
          <w:szCs w:val="23"/>
        </w:rPr>
        <w:t xml:space="preserve">is a </w:t>
      </w:r>
      <w:r w:rsidR="00312276" w:rsidRPr="000A4314">
        <w:rPr>
          <w:rStyle w:val="normaltextrun"/>
          <w:rFonts w:cstheme="minorHAnsi"/>
          <w:sz w:val="23"/>
          <w:szCs w:val="23"/>
        </w:rPr>
        <w:t>national</w:t>
      </w:r>
      <w:r w:rsidR="00B221AC" w:rsidRPr="000A4314">
        <w:rPr>
          <w:rStyle w:val="normaltextrun"/>
          <w:rFonts w:cstheme="minorHAnsi"/>
          <w:sz w:val="23"/>
          <w:szCs w:val="23"/>
        </w:rPr>
        <w:t xml:space="preserve"> level</w:t>
      </w:r>
      <w:r w:rsidR="00312276" w:rsidRPr="000A4314">
        <w:rPr>
          <w:rStyle w:val="normaltextrun"/>
          <w:rFonts w:cstheme="minorHAnsi"/>
          <w:sz w:val="23"/>
          <w:szCs w:val="23"/>
        </w:rPr>
        <w:t xml:space="preserve"> organization headquartered in Minnesota</w:t>
      </w:r>
      <w:r w:rsidR="00B221AC" w:rsidRPr="000A4314">
        <w:rPr>
          <w:rStyle w:val="normaltextrun"/>
          <w:rFonts w:cstheme="minorHAnsi"/>
          <w:sz w:val="23"/>
          <w:szCs w:val="23"/>
        </w:rPr>
        <w:t xml:space="preserve"> </w:t>
      </w:r>
      <w:r w:rsidRPr="000A4314">
        <w:rPr>
          <w:rStyle w:val="normaltextrun"/>
          <w:rFonts w:cstheme="minorHAnsi"/>
          <w:sz w:val="23"/>
          <w:szCs w:val="23"/>
        </w:rPr>
        <w:t xml:space="preserve">with strong relationships built between banks, other Community Development Financial Institutions (CDFIs), small businesses, nonprofits, and philanthropic institutions across the nation. As a mission-driven organization, CRF prioritizes delivering capital to those that need it most – the nonprofits and small businesses that </w:t>
      </w:r>
      <w:proofErr w:type="gramStart"/>
      <w:r w:rsidRPr="000A4314">
        <w:rPr>
          <w:rStyle w:val="normaltextrun"/>
          <w:rFonts w:cstheme="minorHAnsi"/>
          <w:sz w:val="23"/>
          <w:szCs w:val="23"/>
        </w:rPr>
        <w:t>are located in</w:t>
      </w:r>
      <w:proofErr w:type="gramEnd"/>
      <w:r w:rsidRPr="000A4314">
        <w:rPr>
          <w:rStyle w:val="normaltextrun"/>
          <w:rFonts w:cstheme="minorHAnsi"/>
          <w:sz w:val="23"/>
          <w:szCs w:val="23"/>
        </w:rPr>
        <w:t xml:space="preserve">, or provide services to, low- and moderate-income communities. </w:t>
      </w:r>
      <w:r w:rsidR="009D7F35" w:rsidRPr="000A4314">
        <w:rPr>
          <w:rStyle w:val="normaltextrun"/>
          <w:rFonts w:cstheme="minorHAnsi"/>
          <w:sz w:val="23"/>
          <w:szCs w:val="23"/>
        </w:rPr>
        <w:t>CRF has funded over 100</w:t>
      </w:r>
      <w:r w:rsidR="00D54678" w:rsidRPr="000A4314">
        <w:rPr>
          <w:rStyle w:val="normaltextrun"/>
          <w:rFonts w:cstheme="minorHAnsi"/>
          <w:sz w:val="23"/>
          <w:szCs w:val="23"/>
        </w:rPr>
        <w:t>0 loans in all fifty states</w:t>
      </w:r>
      <w:r w:rsidR="002D68D3" w:rsidRPr="000A4314">
        <w:rPr>
          <w:rStyle w:val="normaltextrun"/>
          <w:rFonts w:cstheme="minorHAnsi"/>
          <w:sz w:val="23"/>
          <w:szCs w:val="23"/>
        </w:rPr>
        <w:t>, totaling more than $3.5 Billion.</w:t>
      </w:r>
      <w:r w:rsidR="00D54678" w:rsidRPr="000A4314">
        <w:rPr>
          <w:rStyle w:val="normaltextrun"/>
          <w:rFonts w:cstheme="minorHAnsi"/>
          <w:sz w:val="23"/>
          <w:szCs w:val="23"/>
        </w:rPr>
        <w:t xml:space="preserve"> </w:t>
      </w:r>
      <w:r w:rsidRPr="000A4314">
        <w:rPr>
          <w:rStyle w:val="normaltextrun"/>
          <w:rFonts w:cstheme="minorHAnsi"/>
          <w:sz w:val="23"/>
          <w:szCs w:val="23"/>
        </w:rPr>
        <w:t>We do this in partnership with a network of more than 200 local development organizations across the country. As a result, CRF understands that several diverse product offerings and resource support mechanisms must be utilized for the immediate survival and long-term recovery of small businesses and nonprofits</w:t>
      </w:r>
    </w:p>
    <w:p w14:paraId="0B1A1B3A" w14:textId="77777777" w:rsidR="00AD4419" w:rsidRPr="000A4314" w:rsidRDefault="00AD4419" w:rsidP="006B046F">
      <w:pPr>
        <w:pStyle w:val="NoSpacing"/>
        <w:rPr>
          <w:rStyle w:val="normaltextrun"/>
          <w:rFonts w:cstheme="minorHAnsi"/>
          <w:sz w:val="23"/>
          <w:szCs w:val="23"/>
        </w:rPr>
      </w:pPr>
    </w:p>
    <w:p w14:paraId="03932D7B" w14:textId="4C6861C4" w:rsidR="00AD4419" w:rsidRPr="000A4314" w:rsidRDefault="00AD4419" w:rsidP="006B046F">
      <w:pPr>
        <w:spacing w:after="0" w:line="240" w:lineRule="auto"/>
        <w:rPr>
          <w:rFonts w:cstheme="minorHAnsi"/>
          <w:sz w:val="23"/>
          <w:szCs w:val="23"/>
          <w:u w:val="single"/>
        </w:rPr>
      </w:pPr>
      <w:r w:rsidRPr="000A4314">
        <w:rPr>
          <w:rFonts w:cstheme="minorHAnsi"/>
          <w:sz w:val="23"/>
          <w:szCs w:val="23"/>
          <w:u w:val="single"/>
        </w:rPr>
        <w:t>Frank Altman</w:t>
      </w:r>
      <w:r w:rsidR="006B046F" w:rsidRPr="000A4314">
        <w:rPr>
          <w:rFonts w:cstheme="minorHAnsi"/>
          <w:sz w:val="23"/>
          <w:szCs w:val="23"/>
          <w:u w:val="single"/>
        </w:rPr>
        <w:t>,</w:t>
      </w:r>
      <w:r w:rsidR="006B046F" w:rsidRPr="000A4314">
        <w:rPr>
          <w:rFonts w:cstheme="minorHAnsi"/>
          <w:sz w:val="23"/>
          <w:szCs w:val="23"/>
        </w:rPr>
        <w:t xml:space="preserve"> </w:t>
      </w:r>
      <w:r w:rsidR="00FB4917" w:rsidRPr="000A4314">
        <w:rPr>
          <w:rFonts w:cstheme="minorHAnsi"/>
          <w:sz w:val="23"/>
          <w:szCs w:val="23"/>
        </w:rPr>
        <w:t xml:space="preserve">Founder + </w:t>
      </w:r>
      <w:r w:rsidR="006B046F" w:rsidRPr="000A4314">
        <w:rPr>
          <w:rFonts w:cstheme="minorHAnsi"/>
          <w:sz w:val="23"/>
          <w:szCs w:val="23"/>
        </w:rPr>
        <w:t>CEO, CRF</w:t>
      </w:r>
    </w:p>
    <w:p w14:paraId="1EA2E0A8" w14:textId="6D562760" w:rsidR="00AD4419" w:rsidRPr="000A4314" w:rsidRDefault="00AD4419" w:rsidP="006B046F">
      <w:pPr>
        <w:spacing w:after="0" w:line="240" w:lineRule="auto"/>
        <w:rPr>
          <w:rFonts w:cstheme="minorHAnsi"/>
          <w:sz w:val="23"/>
          <w:szCs w:val="23"/>
        </w:rPr>
      </w:pPr>
      <w:hyperlink r:id="rId11" w:history="1">
        <w:r w:rsidRPr="000A4314">
          <w:rPr>
            <w:rStyle w:val="Hyperlink"/>
            <w:rFonts w:cstheme="minorHAnsi"/>
            <w:sz w:val="23"/>
            <w:szCs w:val="23"/>
          </w:rPr>
          <w:t>www.crf.usa</w:t>
        </w:r>
      </w:hyperlink>
    </w:p>
    <w:p w14:paraId="1D3192A6" w14:textId="77777777" w:rsidR="009F463A" w:rsidRPr="000A4314" w:rsidRDefault="009F463A" w:rsidP="006B046F">
      <w:pPr>
        <w:spacing w:after="0" w:line="240" w:lineRule="auto"/>
        <w:rPr>
          <w:rFonts w:cstheme="minorHAnsi"/>
          <w:sz w:val="23"/>
          <w:szCs w:val="23"/>
        </w:rPr>
      </w:pPr>
    </w:p>
    <w:p w14:paraId="69913CE9" w14:textId="77777777" w:rsidR="00AD4419" w:rsidRPr="000A4314" w:rsidRDefault="00AD4419" w:rsidP="006B046F">
      <w:pPr>
        <w:spacing w:after="0" w:line="240" w:lineRule="auto"/>
        <w:rPr>
          <w:rFonts w:cstheme="minorHAnsi"/>
          <w:sz w:val="23"/>
          <w:szCs w:val="23"/>
        </w:rPr>
      </w:pPr>
    </w:p>
    <w:p w14:paraId="6188206D" w14:textId="11D3BF0D" w:rsidR="00AD4419" w:rsidRPr="000A4314" w:rsidRDefault="00AD4419" w:rsidP="006B046F">
      <w:pPr>
        <w:pStyle w:val="NoSpacing"/>
        <w:rPr>
          <w:rStyle w:val="normaltextrun"/>
          <w:rFonts w:cstheme="minorHAnsi"/>
          <w:sz w:val="23"/>
          <w:szCs w:val="23"/>
        </w:rPr>
      </w:pPr>
      <w:r w:rsidRPr="000A4314">
        <w:rPr>
          <w:rFonts w:cstheme="minorHAnsi"/>
          <w:noProof/>
          <w:sz w:val="23"/>
          <w:szCs w:val="23"/>
        </w:rPr>
        <w:drawing>
          <wp:inline distT="0" distB="0" distL="0" distR="0" wp14:anchorId="496ADB91" wp14:editId="2376258A">
            <wp:extent cx="1028700" cy="514350"/>
            <wp:effectExtent l="0" t="0" r="0" b="0"/>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r="15515"/>
                    <a:stretch>
                      <a:fillRect/>
                    </a:stretch>
                  </pic:blipFill>
                  <pic:spPr bwMode="auto">
                    <a:xfrm>
                      <a:off x="0" y="0"/>
                      <a:ext cx="1028700" cy="514350"/>
                    </a:xfrm>
                    <a:prstGeom prst="rect">
                      <a:avLst/>
                    </a:prstGeom>
                    <a:noFill/>
                    <a:ln>
                      <a:noFill/>
                    </a:ln>
                  </pic:spPr>
                </pic:pic>
              </a:graphicData>
            </a:graphic>
          </wp:inline>
        </w:drawing>
      </w:r>
    </w:p>
    <w:p w14:paraId="734A5231" w14:textId="77777777" w:rsidR="00AD4419" w:rsidRPr="000A4314" w:rsidRDefault="00AD4419" w:rsidP="006B046F">
      <w:pPr>
        <w:pStyle w:val="NoSpacing"/>
        <w:jc w:val="both"/>
        <w:rPr>
          <w:rFonts w:cstheme="minorHAnsi"/>
          <w:sz w:val="23"/>
          <w:szCs w:val="23"/>
        </w:rPr>
      </w:pPr>
      <w:r w:rsidRPr="000A4314">
        <w:rPr>
          <w:rFonts w:cstheme="minorHAnsi"/>
          <w:b/>
          <w:sz w:val="23"/>
          <w:szCs w:val="23"/>
        </w:rPr>
        <w:t>The Latino Economic Development Center (LEDC)</w:t>
      </w:r>
      <w:r w:rsidRPr="000A4314">
        <w:rPr>
          <w:rFonts w:cstheme="minorHAnsi"/>
          <w:sz w:val="23"/>
          <w:szCs w:val="23"/>
        </w:rPr>
        <w:t xml:space="preserve"> was founded by Latinx entrepreneurs and community members who recognized the need for culturally and linguistically competent economic development services - the type of services that could help recent immigrants bridge gaps in knowledge and understanding and help them develop assets that would enable them to achieve self-sufficiency.</w:t>
      </w:r>
    </w:p>
    <w:p w14:paraId="05400469" w14:textId="77777777" w:rsidR="00AD4419" w:rsidRPr="000A4314" w:rsidRDefault="00AD4419" w:rsidP="006B046F">
      <w:pPr>
        <w:pStyle w:val="NoSpacing"/>
        <w:jc w:val="both"/>
        <w:rPr>
          <w:rFonts w:cstheme="minorHAnsi"/>
          <w:sz w:val="23"/>
          <w:szCs w:val="23"/>
        </w:rPr>
      </w:pPr>
    </w:p>
    <w:p w14:paraId="0B6399DA" w14:textId="78B6AA5B" w:rsidR="00AD4419" w:rsidRPr="000A4314" w:rsidRDefault="00AD4419" w:rsidP="006B046F">
      <w:pPr>
        <w:spacing w:after="0" w:line="240" w:lineRule="auto"/>
        <w:rPr>
          <w:rFonts w:cstheme="minorHAnsi"/>
          <w:sz w:val="23"/>
          <w:szCs w:val="23"/>
        </w:rPr>
      </w:pPr>
      <w:r w:rsidRPr="000A4314">
        <w:rPr>
          <w:rFonts w:cstheme="minorHAnsi"/>
          <w:sz w:val="23"/>
          <w:szCs w:val="23"/>
          <w:u w:val="single"/>
        </w:rPr>
        <w:lastRenderedPageBreak/>
        <w:t>Henry Jimenez</w:t>
      </w:r>
      <w:r w:rsidR="006B046F" w:rsidRPr="000A4314">
        <w:rPr>
          <w:rFonts w:cstheme="minorHAnsi"/>
          <w:sz w:val="23"/>
          <w:szCs w:val="23"/>
          <w:u w:val="single"/>
        </w:rPr>
        <w:t>,</w:t>
      </w:r>
      <w:r w:rsidR="006B046F" w:rsidRPr="000A4314">
        <w:rPr>
          <w:rFonts w:cstheme="minorHAnsi"/>
          <w:sz w:val="23"/>
          <w:szCs w:val="23"/>
        </w:rPr>
        <w:t xml:space="preserve"> </w:t>
      </w:r>
      <w:r w:rsidRPr="000A4314">
        <w:rPr>
          <w:rFonts w:cstheme="minorHAnsi"/>
          <w:sz w:val="23"/>
          <w:szCs w:val="23"/>
        </w:rPr>
        <w:t>Executive Director + President, LEDC</w:t>
      </w:r>
    </w:p>
    <w:p w14:paraId="0711ED88" w14:textId="12B26E08" w:rsidR="00AD4419" w:rsidRPr="000A4314" w:rsidRDefault="00AD4419" w:rsidP="006B046F">
      <w:pPr>
        <w:spacing w:after="0" w:line="240" w:lineRule="auto"/>
        <w:rPr>
          <w:rFonts w:cstheme="minorHAnsi"/>
          <w:sz w:val="23"/>
          <w:szCs w:val="23"/>
        </w:rPr>
      </w:pPr>
      <w:hyperlink r:id="rId13" w:history="1">
        <w:r w:rsidRPr="000A4314">
          <w:rPr>
            <w:rStyle w:val="Hyperlink"/>
            <w:rFonts w:cstheme="minorHAnsi"/>
            <w:sz w:val="23"/>
            <w:szCs w:val="23"/>
          </w:rPr>
          <w:t>www.ledcmn.org</w:t>
        </w:r>
      </w:hyperlink>
    </w:p>
    <w:p w14:paraId="6233DDE1" w14:textId="77777777" w:rsidR="006B046F" w:rsidRPr="000A4314" w:rsidRDefault="006B046F" w:rsidP="006B046F">
      <w:pPr>
        <w:spacing w:after="0" w:line="240" w:lineRule="auto"/>
        <w:rPr>
          <w:rFonts w:cstheme="minorHAnsi"/>
          <w:sz w:val="23"/>
          <w:szCs w:val="23"/>
        </w:rPr>
      </w:pPr>
    </w:p>
    <w:p w14:paraId="55D229C3" w14:textId="77777777" w:rsidR="00AD4419" w:rsidRPr="000A4314" w:rsidRDefault="00AD4419" w:rsidP="006B046F">
      <w:pPr>
        <w:spacing w:after="0" w:line="240" w:lineRule="auto"/>
        <w:rPr>
          <w:rFonts w:cstheme="minorHAnsi"/>
          <w:sz w:val="23"/>
          <w:szCs w:val="23"/>
        </w:rPr>
      </w:pPr>
    </w:p>
    <w:p w14:paraId="124A6ECA" w14:textId="035519E9" w:rsidR="006B046F" w:rsidRPr="000A4314" w:rsidRDefault="006B046F" w:rsidP="006B046F">
      <w:pPr>
        <w:pStyle w:val="NoSpacing"/>
        <w:jc w:val="both"/>
        <w:rPr>
          <w:rFonts w:cstheme="minorHAnsi"/>
          <w:sz w:val="23"/>
          <w:szCs w:val="23"/>
        </w:rPr>
      </w:pPr>
      <w:r w:rsidRPr="000A4314">
        <w:rPr>
          <w:rFonts w:cstheme="minorHAnsi"/>
          <w:noProof/>
          <w:sz w:val="23"/>
          <w:szCs w:val="23"/>
        </w:rPr>
        <w:drawing>
          <wp:inline distT="0" distB="0" distL="0" distR="0" wp14:anchorId="16A3D336" wp14:editId="25EA898C">
            <wp:extent cx="923925" cy="628650"/>
            <wp:effectExtent l="0" t="0" r="9525"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ompany nam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t="16689" b="15276"/>
                    <a:stretch>
                      <a:fillRect/>
                    </a:stretch>
                  </pic:blipFill>
                  <pic:spPr bwMode="auto">
                    <a:xfrm>
                      <a:off x="0" y="0"/>
                      <a:ext cx="923925" cy="628650"/>
                    </a:xfrm>
                    <a:prstGeom prst="rect">
                      <a:avLst/>
                    </a:prstGeom>
                    <a:noFill/>
                    <a:ln>
                      <a:noFill/>
                    </a:ln>
                  </pic:spPr>
                </pic:pic>
              </a:graphicData>
            </a:graphic>
          </wp:inline>
        </w:drawing>
      </w:r>
    </w:p>
    <w:p w14:paraId="5837AD55" w14:textId="77777777" w:rsidR="00AD4419" w:rsidRPr="000A4314" w:rsidRDefault="00AD4419" w:rsidP="006B046F">
      <w:pPr>
        <w:pStyle w:val="NoSpacing"/>
        <w:jc w:val="both"/>
        <w:rPr>
          <w:rFonts w:cstheme="minorHAnsi"/>
          <w:sz w:val="23"/>
          <w:szCs w:val="23"/>
        </w:rPr>
      </w:pPr>
      <w:r w:rsidRPr="000A4314">
        <w:rPr>
          <w:rFonts w:cstheme="minorHAnsi"/>
          <w:sz w:val="23"/>
          <w:szCs w:val="23"/>
        </w:rPr>
        <w:t>The mission of</w:t>
      </w:r>
      <w:r w:rsidRPr="000A4314">
        <w:rPr>
          <w:rFonts w:cstheme="minorHAnsi"/>
          <w:b/>
          <w:sz w:val="23"/>
          <w:szCs w:val="23"/>
        </w:rPr>
        <w:t xml:space="preserve"> Metropolitan Economic Development Association (</w:t>
      </w:r>
      <w:proofErr w:type="spellStart"/>
      <w:r w:rsidRPr="000A4314">
        <w:rPr>
          <w:rFonts w:cstheme="minorHAnsi"/>
          <w:b/>
          <w:sz w:val="23"/>
          <w:szCs w:val="23"/>
        </w:rPr>
        <w:t>Meda</w:t>
      </w:r>
      <w:proofErr w:type="spellEnd"/>
      <w:r w:rsidRPr="000A4314">
        <w:rPr>
          <w:rFonts w:cstheme="minorHAnsi"/>
          <w:b/>
          <w:sz w:val="23"/>
          <w:szCs w:val="23"/>
        </w:rPr>
        <w:t>)</w:t>
      </w:r>
      <w:r w:rsidRPr="000A4314">
        <w:rPr>
          <w:rFonts w:cstheme="minorHAnsi"/>
          <w:sz w:val="23"/>
          <w:szCs w:val="23"/>
        </w:rPr>
        <w:t xml:space="preserve"> is to help minority entrepreneurs succeed. Our vision is thriving communities through equal economic participation. </w:t>
      </w:r>
      <w:proofErr w:type="spellStart"/>
      <w:r w:rsidRPr="000A4314">
        <w:rPr>
          <w:rFonts w:cstheme="minorHAnsi"/>
          <w:sz w:val="23"/>
          <w:szCs w:val="23"/>
        </w:rPr>
        <w:t>Meda's</w:t>
      </w:r>
      <w:proofErr w:type="spellEnd"/>
      <w:r w:rsidRPr="000A4314">
        <w:rPr>
          <w:rFonts w:cstheme="minorHAnsi"/>
          <w:sz w:val="23"/>
          <w:szCs w:val="23"/>
        </w:rPr>
        <w:t xml:space="preserve"> three main accelerator services provide the tools and resources crucial for business scaling, including: access to capital, access to trusted business advising, and access to contracts.</w:t>
      </w:r>
    </w:p>
    <w:p w14:paraId="6B017602" w14:textId="77777777" w:rsidR="00AD4419" w:rsidRPr="000A4314" w:rsidRDefault="00AD4419" w:rsidP="006B046F">
      <w:pPr>
        <w:pStyle w:val="NoSpacing"/>
        <w:jc w:val="both"/>
        <w:rPr>
          <w:rFonts w:cstheme="minorHAnsi"/>
          <w:sz w:val="23"/>
          <w:szCs w:val="23"/>
        </w:rPr>
      </w:pPr>
    </w:p>
    <w:p w14:paraId="0AD2DB50" w14:textId="7D1A524E" w:rsidR="00AD4419" w:rsidRPr="000A4314" w:rsidRDefault="00AD4419" w:rsidP="006B046F">
      <w:pPr>
        <w:spacing w:after="0" w:line="240" w:lineRule="auto"/>
        <w:rPr>
          <w:rFonts w:cstheme="minorHAnsi"/>
          <w:sz w:val="23"/>
          <w:szCs w:val="23"/>
        </w:rPr>
      </w:pPr>
      <w:r w:rsidRPr="000A4314">
        <w:rPr>
          <w:rFonts w:cstheme="minorHAnsi"/>
          <w:sz w:val="23"/>
          <w:szCs w:val="23"/>
          <w:u w:val="single"/>
        </w:rPr>
        <w:t>Alfredo Martel</w:t>
      </w:r>
      <w:r w:rsidR="006B046F" w:rsidRPr="000A4314">
        <w:rPr>
          <w:rFonts w:cstheme="minorHAnsi"/>
          <w:sz w:val="23"/>
          <w:szCs w:val="23"/>
        </w:rPr>
        <w:t xml:space="preserve">, </w:t>
      </w:r>
      <w:r w:rsidRPr="000A4314">
        <w:rPr>
          <w:rFonts w:cstheme="minorHAnsi"/>
          <w:sz w:val="23"/>
          <w:szCs w:val="23"/>
        </w:rPr>
        <w:t>President + CEO, MEDA</w:t>
      </w:r>
    </w:p>
    <w:p w14:paraId="56343AF7" w14:textId="75D48540" w:rsidR="00AD4419" w:rsidRPr="000A4314" w:rsidRDefault="00AD4419" w:rsidP="006B046F">
      <w:pPr>
        <w:spacing w:after="0" w:line="240" w:lineRule="auto"/>
        <w:rPr>
          <w:rFonts w:cstheme="minorHAnsi"/>
          <w:sz w:val="23"/>
          <w:szCs w:val="23"/>
        </w:rPr>
      </w:pPr>
      <w:hyperlink r:id="rId15" w:history="1">
        <w:r w:rsidRPr="000A4314">
          <w:rPr>
            <w:rStyle w:val="Hyperlink"/>
            <w:rFonts w:cstheme="minorHAnsi"/>
            <w:sz w:val="23"/>
            <w:szCs w:val="23"/>
          </w:rPr>
          <w:t>www.meda.net</w:t>
        </w:r>
      </w:hyperlink>
    </w:p>
    <w:p w14:paraId="7508DF75" w14:textId="77777777" w:rsidR="006B046F" w:rsidRPr="006B046F" w:rsidRDefault="006B046F" w:rsidP="006B046F">
      <w:pPr>
        <w:spacing w:after="0" w:line="240" w:lineRule="auto"/>
        <w:rPr>
          <w:rFonts w:cstheme="minorHAnsi"/>
        </w:rPr>
      </w:pPr>
    </w:p>
    <w:p w14:paraId="2CC70AB2" w14:textId="77777777" w:rsidR="00AD4419" w:rsidRPr="006B046F" w:rsidRDefault="00AD4419" w:rsidP="006B046F">
      <w:pPr>
        <w:pStyle w:val="NoSpacing"/>
        <w:jc w:val="both"/>
        <w:rPr>
          <w:rFonts w:cstheme="minorHAnsi"/>
          <w:sz w:val="24"/>
          <w:szCs w:val="24"/>
        </w:rPr>
      </w:pPr>
    </w:p>
    <w:p w14:paraId="497B2414" w14:textId="72CFBE5B" w:rsidR="006B046F" w:rsidRPr="006B046F" w:rsidRDefault="006B046F" w:rsidP="006B046F">
      <w:pPr>
        <w:pStyle w:val="NoSpacing"/>
        <w:jc w:val="both"/>
        <w:rPr>
          <w:rFonts w:cstheme="minorHAnsi"/>
          <w:sz w:val="24"/>
          <w:szCs w:val="24"/>
        </w:rPr>
      </w:pPr>
      <w:r w:rsidRPr="006B046F">
        <w:rPr>
          <w:rFonts w:cstheme="minorHAnsi"/>
          <w:noProof/>
        </w:rPr>
        <w:drawing>
          <wp:inline distT="0" distB="0" distL="0" distR="0" wp14:anchorId="4CBB7ECE" wp14:editId="4FFC7CE0">
            <wp:extent cx="657225" cy="609600"/>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x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l="3488" t="4814" r="63953" b="11160"/>
                    <a:stretch>
                      <a:fillRect/>
                    </a:stretch>
                  </pic:blipFill>
                  <pic:spPr bwMode="auto">
                    <a:xfrm>
                      <a:off x="0" y="0"/>
                      <a:ext cx="657225" cy="609600"/>
                    </a:xfrm>
                    <a:prstGeom prst="rect">
                      <a:avLst/>
                    </a:prstGeom>
                    <a:noFill/>
                    <a:ln>
                      <a:noFill/>
                    </a:ln>
                  </pic:spPr>
                </pic:pic>
              </a:graphicData>
            </a:graphic>
          </wp:inline>
        </w:drawing>
      </w:r>
    </w:p>
    <w:p w14:paraId="64652CED" w14:textId="77777777" w:rsidR="00AD4419" w:rsidRPr="006B046F" w:rsidRDefault="00AD4419" w:rsidP="006B046F">
      <w:pPr>
        <w:pStyle w:val="NoSpacing"/>
        <w:jc w:val="both"/>
        <w:rPr>
          <w:rFonts w:cstheme="minorHAnsi"/>
          <w:sz w:val="24"/>
          <w:szCs w:val="24"/>
        </w:rPr>
      </w:pPr>
      <w:r w:rsidRPr="006B046F">
        <w:rPr>
          <w:rFonts w:cstheme="minorHAnsi"/>
          <w:b/>
          <w:noProof/>
          <w:sz w:val="24"/>
          <w:szCs w:val="24"/>
        </w:rPr>
        <w:t>The Northside Economic Opportunities Network (NEON)</w:t>
      </w:r>
      <w:r w:rsidRPr="006B046F">
        <w:rPr>
          <w:rFonts w:cstheme="minorHAnsi"/>
          <w:noProof/>
          <w:sz w:val="24"/>
          <w:szCs w:val="24"/>
        </w:rPr>
        <w:t xml:space="preserve"> is an economic development organization located in north Minneapolis. Our mission is to build wealth for low- to moderate income entrepreneurs in North Minneapolis and surrounding communities.</w:t>
      </w:r>
    </w:p>
    <w:p w14:paraId="187962EE" w14:textId="77777777" w:rsidR="00AD4419" w:rsidRPr="006B046F" w:rsidRDefault="00AD4419" w:rsidP="006B046F">
      <w:pPr>
        <w:spacing w:after="0" w:line="240" w:lineRule="auto"/>
        <w:rPr>
          <w:rFonts w:cstheme="minorHAnsi"/>
          <w:sz w:val="24"/>
          <w:szCs w:val="24"/>
        </w:rPr>
      </w:pPr>
    </w:p>
    <w:p w14:paraId="1F93FD31" w14:textId="3BB3BA35" w:rsidR="00AD4419" w:rsidRPr="006B046F" w:rsidRDefault="00AD4419" w:rsidP="006B046F">
      <w:pPr>
        <w:spacing w:after="0" w:line="240" w:lineRule="auto"/>
        <w:rPr>
          <w:rFonts w:cstheme="minorHAnsi"/>
        </w:rPr>
      </w:pPr>
      <w:r w:rsidRPr="006B046F">
        <w:rPr>
          <w:rFonts w:cstheme="minorHAnsi"/>
          <w:u w:val="single"/>
        </w:rPr>
        <w:t>Warren McLean</w:t>
      </w:r>
      <w:r w:rsidR="006B046F">
        <w:rPr>
          <w:rFonts w:cstheme="minorHAnsi"/>
          <w:u w:val="single"/>
        </w:rPr>
        <w:t xml:space="preserve">, </w:t>
      </w:r>
      <w:r w:rsidRPr="006B046F">
        <w:rPr>
          <w:rFonts w:cstheme="minorHAnsi"/>
        </w:rPr>
        <w:t>President, NEON</w:t>
      </w:r>
    </w:p>
    <w:p w14:paraId="0B6515A0" w14:textId="77777777" w:rsidR="00AD4419" w:rsidRPr="006B046F" w:rsidRDefault="00AD4419" w:rsidP="006B046F">
      <w:pPr>
        <w:spacing w:after="0" w:line="240" w:lineRule="auto"/>
        <w:rPr>
          <w:rFonts w:cstheme="minorHAnsi"/>
        </w:rPr>
      </w:pPr>
      <w:hyperlink r:id="rId17" w:history="1">
        <w:r w:rsidRPr="006B046F">
          <w:rPr>
            <w:rStyle w:val="Hyperlink"/>
            <w:rFonts w:cstheme="minorHAnsi"/>
          </w:rPr>
          <w:t>www.neon-mn.org</w:t>
        </w:r>
      </w:hyperlink>
    </w:p>
    <w:p w14:paraId="00217A3D" w14:textId="67BF2108" w:rsidR="002B7522" w:rsidRPr="002B7522" w:rsidRDefault="002B7522" w:rsidP="002B7522">
      <w:pPr>
        <w:pStyle w:val="NoSpacing"/>
        <w:jc w:val="center"/>
        <w:rPr>
          <w:rFonts w:cstheme="minorHAnsi"/>
          <w:noProof/>
          <w:color w:val="2F5496" w:themeColor="accent1" w:themeShade="BF"/>
          <w:sz w:val="24"/>
        </w:rPr>
      </w:pPr>
      <w:r w:rsidRPr="002B7522">
        <w:rPr>
          <w:rFonts w:cstheme="minorHAnsi"/>
          <w:noProof/>
          <w:color w:val="2F5496" w:themeColor="accent1" w:themeShade="BF"/>
          <w:sz w:val="24"/>
        </w:rPr>
        <w:t>---</w:t>
      </w:r>
    </w:p>
    <w:p w14:paraId="30FD3F20" w14:textId="5204B3DF" w:rsidR="009F463A" w:rsidRDefault="009F463A" w:rsidP="002B7522">
      <w:pPr>
        <w:pStyle w:val="NoSpacing"/>
        <w:jc w:val="center"/>
        <w:rPr>
          <w:rFonts w:cstheme="minorHAnsi"/>
          <w:b/>
          <w:bCs/>
          <w:noProof/>
          <w:sz w:val="24"/>
          <w:u w:val="single"/>
        </w:rPr>
      </w:pPr>
      <w:r w:rsidRPr="003752CC">
        <w:rPr>
          <w:rFonts w:cstheme="minorHAnsi"/>
          <w:b/>
          <w:bCs/>
          <w:noProof/>
          <w:sz w:val="24"/>
          <w:u w:val="single"/>
        </w:rPr>
        <w:t>Minnesota Inclusive Growth Fund</w:t>
      </w:r>
    </w:p>
    <w:p w14:paraId="6F9ED8FE" w14:textId="77777777" w:rsidR="00840ACE" w:rsidRDefault="00840ACE" w:rsidP="002B7522">
      <w:pPr>
        <w:pStyle w:val="NoSpacing"/>
        <w:jc w:val="center"/>
        <w:rPr>
          <w:rFonts w:cstheme="minorHAnsi"/>
          <w:b/>
          <w:bCs/>
          <w:noProof/>
          <w:sz w:val="24"/>
          <w:u w:val="single"/>
        </w:rPr>
      </w:pPr>
    </w:p>
    <w:p w14:paraId="68014896" w14:textId="09BA99B4" w:rsidR="009F463A" w:rsidRDefault="009F463A" w:rsidP="009F463A">
      <w:pPr>
        <w:pStyle w:val="NoSpacing"/>
        <w:jc w:val="center"/>
        <w:rPr>
          <w:rFonts w:cstheme="minorHAnsi"/>
          <w:noProof/>
          <w:sz w:val="24"/>
        </w:rPr>
      </w:pPr>
      <w:r w:rsidRPr="009F463A">
        <w:rPr>
          <w:rFonts w:cstheme="minorHAnsi"/>
          <w:noProof/>
          <w:sz w:val="24"/>
        </w:rPr>
        <w:t xml:space="preserve">The Minnesota Inclusive Growth Fund is designed to equip community small business lenders </w:t>
      </w:r>
      <w:r>
        <w:rPr>
          <w:rFonts w:cstheme="minorHAnsi"/>
          <w:noProof/>
          <w:sz w:val="24"/>
        </w:rPr>
        <w:t xml:space="preserve">(primarily minority, veteran an women owned facing) </w:t>
      </w:r>
      <w:r w:rsidRPr="009F463A">
        <w:rPr>
          <w:rFonts w:cstheme="minorHAnsi"/>
          <w:noProof/>
          <w:sz w:val="24"/>
        </w:rPr>
        <w:t>with the support required to meet the unique rebuild and recovery needs of their communities</w:t>
      </w:r>
      <w:r>
        <w:rPr>
          <w:rFonts w:cstheme="minorHAnsi"/>
          <w:noProof/>
          <w:sz w:val="24"/>
        </w:rPr>
        <w:t>.</w:t>
      </w:r>
    </w:p>
    <w:p w14:paraId="56A73727" w14:textId="67FBA5D0" w:rsidR="009F463A" w:rsidRDefault="009F463A" w:rsidP="009F463A">
      <w:pPr>
        <w:pStyle w:val="NoSpacing"/>
        <w:jc w:val="center"/>
        <w:rPr>
          <w:rFonts w:cstheme="minorHAnsi"/>
          <w:noProof/>
          <w:sz w:val="24"/>
        </w:rPr>
      </w:pPr>
    </w:p>
    <w:p w14:paraId="2FE61595" w14:textId="06DEBB43" w:rsidR="009F463A" w:rsidRDefault="009F463A" w:rsidP="009F463A">
      <w:pPr>
        <w:pStyle w:val="NoSpacing"/>
        <w:numPr>
          <w:ilvl w:val="0"/>
          <w:numId w:val="2"/>
        </w:numPr>
        <w:rPr>
          <w:rFonts w:cstheme="minorHAnsi"/>
          <w:noProof/>
        </w:rPr>
      </w:pPr>
      <w:r w:rsidRPr="002B7522">
        <w:rPr>
          <w:rFonts w:cstheme="minorHAnsi"/>
          <w:b/>
          <w:bCs/>
          <w:noProof/>
          <w:sz w:val="24"/>
        </w:rPr>
        <w:t>Liquidity</w:t>
      </w:r>
      <w:r>
        <w:rPr>
          <w:rFonts w:cstheme="minorHAnsi"/>
          <w:noProof/>
          <w:sz w:val="24"/>
        </w:rPr>
        <w:t xml:space="preserve"> -</w:t>
      </w:r>
      <w:r w:rsidRPr="009F463A">
        <w:rPr>
          <w:rFonts w:ascii="Arial" w:eastAsiaTheme="minorEastAsia" w:hAnsi="Arial" w:cs="Arial"/>
          <w:color w:val="000000" w:themeColor="text1"/>
          <w:kern w:val="24"/>
          <w:sz w:val="32"/>
          <w:szCs w:val="32"/>
        </w:rPr>
        <w:t xml:space="preserve"> </w:t>
      </w:r>
      <w:r w:rsidRPr="009F463A">
        <w:rPr>
          <w:rFonts w:cstheme="minorHAnsi"/>
          <w:noProof/>
        </w:rPr>
        <w:t>Enables participating CDFIs to focus on new lending in their communities by providing them with liquidity and mitigating on-balance sheet risk</w:t>
      </w:r>
      <w:r w:rsidR="0048368A">
        <w:rPr>
          <w:rFonts w:cstheme="minorHAnsi"/>
          <w:noProof/>
        </w:rPr>
        <w:t>.</w:t>
      </w:r>
    </w:p>
    <w:p w14:paraId="70C44FDB" w14:textId="77777777" w:rsidR="009F463A" w:rsidRPr="009F463A" w:rsidRDefault="009F463A" w:rsidP="002B7522">
      <w:pPr>
        <w:pStyle w:val="NoSpacing"/>
        <w:ind w:left="720"/>
        <w:rPr>
          <w:rFonts w:cstheme="minorHAnsi"/>
          <w:noProof/>
        </w:rPr>
      </w:pPr>
    </w:p>
    <w:p w14:paraId="19AB168C" w14:textId="560BF581" w:rsidR="002B7522" w:rsidRDefault="009F463A" w:rsidP="002B7522">
      <w:pPr>
        <w:pStyle w:val="NoSpacing"/>
        <w:numPr>
          <w:ilvl w:val="0"/>
          <w:numId w:val="2"/>
        </w:numPr>
        <w:rPr>
          <w:rFonts w:cstheme="minorHAnsi"/>
          <w:noProof/>
        </w:rPr>
      </w:pPr>
      <w:r w:rsidRPr="002B7522">
        <w:rPr>
          <w:rFonts w:cstheme="minorHAnsi"/>
          <w:b/>
          <w:bCs/>
          <w:noProof/>
          <w:sz w:val="24"/>
        </w:rPr>
        <w:t>Low Cost/Flexible Capital</w:t>
      </w:r>
      <w:r>
        <w:rPr>
          <w:rFonts w:cstheme="minorHAnsi"/>
          <w:noProof/>
          <w:sz w:val="24"/>
        </w:rPr>
        <w:t xml:space="preserve"> -</w:t>
      </w:r>
      <w:r w:rsidR="002B7522">
        <w:rPr>
          <w:rFonts w:cstheme="minorHAnsi"/>
          <w:noProof/>
          <w:sz w:val="24"/>
        </w:rPr>
        <w:t xml:space="preserve"> </w:t>
      </w:r>
      <w:r w:rsidR="002B7522" w:rsidRPr="002B7522">
        <w:rPr>
          <w:rFonts w:cstheme="minorHAnsi"/>
          <w:noProof/>
        </w:rPr>
        <w:t>Provides CDFIs with the low-cost and flexible capital required to offer deeply affordable and flexible loans to small businesses</w:t>
      </w:r>
      <w:r w:rsidR="00BA39C5">
        <w:rPr>
          <w:rFonts w:cstheme="minorHAnsi"/>
          <w:noProof/>
        </w:rPr>
        <w:t xml:space="preserve"> </w:t>
      </w:r>
      <w:r w:rsidR="00BA39C5" w:rsidRPr="00BA39C5">
        <w:rPr>
          <w:rFonts w:cstheme="minorHAnsi"/>
          <w:b/>
          <w:bCs/>
          <w:noProof/>
        </w:rPr>
        <w:t>(5% interest rate).</w:t>
      </w:r>
    </w:p>
    <w:p w14:paraId="31B179EF" w14:textId="77777777" w:rsidR="002B7522" w:rsidRPr="002B7522" w:rsidRDefault="002B7522" w:rsidP="002B7522">
      <w:pPr>
        <w:pStyle w:val="NoSpacing"/>
        <w:ind w:left="720"/>
        <w:rPr>
          <w:rFonts w:cstheme="minorHAnsi"/>
          <w:noProof/>
        </w:rPr>
      </w:pPr>
    </w:p>
    <w:p w14:paraId="44EA3CBC" w14:textId="2BEE254A" w:rsidR="002B7522" w:rsidRDefault="002B7522" w:rsidP="002B7522">
      <w:pPr>
        <w:pStyle w:val="NoSpacing"/>
        <w:numPr>
          <w:ilvl w:val="0"/>
          <w:numId w:val="2"/>
        </w:numPr>
        <w:rPr>
          <w:rFonts w:cstheme="minorHAnsi"/>
          <w:noProof/>
        </w:rPr>
      </w:pPr>
      <w:r w:rsidRPr="002B7522">
        <w:rPr>
          <w:rFonts w:cstheme="minorHAnsi"/>
          <w:b/>
          <w:bCs/>
          <w:noProof/>
          <w:sz w:val="24"/>
        </w:rPr>
        <w:t>Operational Support</w:t>
      </w:r>
      <w:r>
        <w:rPr>
          <w:rFonts w:cstheme="minorHAnsi"/>
          <w:noProof/>
          <w:sz w:val="24"/>
        </w:rPr>
        <w:t xml:space="preserve"> - </w:t>
      </w:r>
      <w:r w:rsidRPr="002B7522">
        <w:rPr>
          <w:rFonts w:cstheme="minorHAnsi"/>
          <w:noProof/>
        </w:rPr>
        <w:t>Provides CDFIs with the financial resources through the origination fee and servicing fee to ensure they have operational capacity to execute on a high volume of loans</w:t>
      </w:r>
      <w:r w:rsidR="0048368A">
        <w:rPr>
          <w:rFonts w:cstheme="minorHAnsi"/>
          <w:noProof/>
        </w:rPr>
        <w:t>.</w:t>
      </w:r>
    </w:p>
    <w:p w14:paraId="55ADC062" w14:textId="77777777" w:rsidR="002B7522" w:rsidRPr="002B7522" w:rsidRDefault="002B7522" w:rsidP="002B7522">
      <w:pPr>
        <w:pStyle w:val="NoSpacing"/>
        <w:ind w:left="720"/>
        <w:rPr>
          <w:rFonts w:cstheme="minorHAnsi"/>
          <w:noProof/>
        </w:rPr>
      </w:pPr>
    </w:p>
    <w:p w14:paraId="0FA674DE" w14:textId="6A1956C8" w:rsidR="002B7522" w:rsidRPr="002B7522" w:rsidRDefault="002B7522" w:rsidP="002B7522">
      <w:pPr>
        <w:pStyle w:val="NoSpacing"/>
        <w:numPr>
          <w:ilvl w:val="0"/>
          <w:numId w:val="2"/>
        </w:numPr>
        <w:rPr>
          <w:rFonts w:cstheme="minorHAnsi"/>
          <w:noProof/>
        </w:rPr>
      </w:pPr>
      <w:r w:rsidRPr="002B7522">
        <w:rPr>
          <w:rFonts w:cstheme="minorHAnsi"/>
          <w:b/>
          <w:bCs/>
          <w:noProof/>
          <w:sz w:val="24"/>
        </w:rPr>
        <w:t>Sustainable and Scalable</w:t>
      </w:r>
      <w:r>
        <w:rPr>
          <w:rFonts w:cstheme="minorHAnsi"/>
          <w:noProof/>
          <w:sz w:val="24"/>
        </w:rPr>
        <w:t xml:space="preserve"> Partneships - </w:t>
      </w:r>
      <w:r w:rsidRPr="002B7522">
        <w:rPr>
          <w:rFonts w:cstheme="minorHAnsi"/>
          <w:noProof/>
        </w:rPr>
        <w:t>Builds a scalable source of financing that leverages and combines existing infrastructure, networks, and relationships to activate new recovery lending</w:t>
      </w:r>
      <w:r w:rsidR="0048368A">
        <w:rPr>
          <w:rFonts w:cstheme="minorHAnsi"/>
          <w:noProof/>
        </w:rPr>
        <w:t>.</w:t>
      </w:r>
    </w:p>
    <w:p w14:paraId="742621C2" w14:textId="77777777" w:rsidR="00AD4419" w:rsidRPr="006B046F" w:rsidRDefault="00AD4419" w:rsidP="00183516">
      <w:pPr>
        <w:tabs>
          <w:tab w:val="left" w:pos="1905"/>
        </w:tabs>
        <w:rPr>
          <w:rFonts w:cstheme="minorHAnsi"/>
        </w:rPr>
      </w:pPr>
    </w:p>
    <w:sectPr w:rsidR="00AD4419" w:rsidRPr="006B046F" w:rsidSect="002B7522">
      <w:headerReference w:type="default" r:id="rId1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461EE" w14:textId="77777777" w:rsidR="00431E07" w:rsidRDefault="00431E07" w:rsidP="00570307">
      <w:pPr>
        <w:spacing w:after="0" w:line="240" w:lineRule="auto"/>
      </w:pPr>
      <w:r>
        <w:separator/>
      </w:r>
    </w:p>
  </w:endnote>
  <w:endnote w:type="continuationSeparator" w:id="0">
    <w:p w14:paraId="20ECF61E" w14:textId="77777777" w:rsidR="00431E07" w:rsidRDefault="00431E07" w:rsidP="00570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30533" w14:textId="77777777" w:rsidR="00431E07" w:rsidRDefault="00431E07" w:rsidP="00570307">
      <w:pPr>
        <w:spacing w:after="0" w:line="240" w:lineRule="auto"/>
      </w:pPr>
      <w:r>
        <w:separator/>
      </w:r>
    </w:p>
  </w:footnote>
  <w:footnote w:type="continuationSeparator" w:id="0">
    <w:p w14:paraId="77C7EAA7" w14:textId="77777777" w:rsidR="00431E07" w:rsidRDefault="00431E07" w:rsidP="005703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6841F" w14:textId="77777777" w:rsidR="00570307" w:rsidRDefault="005703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07148"/>
    <w:multiLevelType w:val="hybridMultilevel"/>
    <w:tmpl w:val="38AE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8E4A20"/>
    <w:multiLevelType w:val="hybridMultilevel"/>
    <w:tmpl w:val="D1CE8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A9024E"/>
    <w:multiLevelType w:val="hybridMultilevel"/>
    <w:tmpl w:val="469C506A"/>
    <w:lvl w:ilvl="0" w:tplc="7654F6C4">
      <w:start w:val="1"/>
      <w:numFmt w:val="bullet"/>
      <w:lvlText w:val="•"/>
      <w:lvlJc w:val="left"/>
      <w:pPr>
        <w:tabs>
          <w:tab w:val="num" w:pos="720"/>
        </w:tabs>
        <w:ind w:left="720" w:hanging="360"/>
      </w:pPr>
      <w:rPr>
        <w:rFonts w:ascii="Arial" w:hAnsi="Arial" w:hint="default"/>
      </w:rPr>
    </w:lvl>
    <w:lvl w:ilvl="1" w:tplc="6C02EE7A" w:tentative="1">
      <w:start w:val="1"/>
      <w:numFmt w:val="bullet"/>
      <w:lvlText w:val="•"/>
      <w:lvlJc w:val="left"/>
      <w:pPr>
        <w:tabs>
          <w:tab w:val="num" w:pos="1440"/>
        </w:tabs>
        <w:ind w:left="1440" w:hanging="360"/>
      </w:pPr>
      <w:rPr>
        <w:rFonts w:ascii="Arial" w:hAnsi="Arial" w:hint="default"/>
      </w:rPr>
    </w:lvl>
    <w:lvl w:ilvl="2" w:tplc="6A7A2F58" w:tentative="1">
      <w:start w:val="1"/>
      <w:numFmt w:val="bullet"/>
      <w:lvlText w:val="•"/>
      <w:lvlJc w:val="left"/>
      <w:pPr>
        <w:tabs>
          <w:tab w:val="num" w:pos="2160"/>
        </w:tabs>
        <w:ind w:left="2160" w:hanging="360"/>
      </w:pPr>
      <w:rPr>
        <w:rFonts w:ascii="Arial" w:hAnsi="Arial" w:hint="default"/>
      </w:rPr>
    </w:lvl>
    <w:lvl w:ilvl="3" w:tplc="D2A4751C" w:tentative="1">
      <w:start w:val="1"/>
      <w:numFmt w:val="bullet"/>
      <w:lvlText w:val="•"/>
      <w:lvlJc w:val="left"/>
      <w:pPr>
        <w:tabs>
          <w:tab w:val="num" w:pos="2880"/>
        </w:tabs>
        <w:ind w:left="2880" w:hanging="360"/>
      </w:pPr>
      <w:rPr>
        <w:rFonts w:ascii="Arial" w:hAnsi="Arial" w:hint="default"/>
      </w:rPr>
    </w:lvl>
    <w:lvl w:ilvl="4" w:tplc="1062E360" w:tentative="1">
      <w:start w:val="1"/>
      <w:numFmt w:val="bullet"/>
      <w:lvlText w:val="•"/>
      <w:lvlJc w:val="left"/>
      <w:pPr>
        <w:tabs>
          <w:tab w:val="num" w:pos="3600"/>
        </w:tabs>
        <w:ind w:left="3600" w:hanging="360"/>
      </w:pPr>
      <w:rPr>
        <w:rFonts w:ascii="Arial" w:hAnsi="Arial" w:hint="default"/>
      </w:rPr>
    </w:lvl>
    <w:lvl w:ilvl="5" w:tplc="8CDA1460" w:tentative="1">
      <w:start w:val="1"/>
      <w:numFmt w:val="bullet"/>
      <w:lvlText w:val="•"/>
      <w:lvlJc w:val="left"/>
      <w:pPr>
        <w:tabs>
          <w:tab w:val="num" w:pos="4320"/>
        </w:tabs>
        <w:ind w:left="4320" w:hanging="360"/>
      </w:pPr>
      <w:rPr>
        <w:rFonts w:ascii="Arial" w:hAnsi="Arial" w:hint="default"/>
      </w:rPr>
    </w:lvl>
    <w:lvl w:ilvl="6" w:tplc="01103AAE" w:tentative="1">
      <w:start w:val="1"/>
      <w:numFmt w:val="bullet"/>
      <w:lvlText w:val="•"/>
      <w:lvlJc w:val="left"/>
      <w:pPr>
        <w:tabs>
          <w:tab w:val="num" w:pos="5040"/>
        </w:tabs>
        <w:ind w:left="5040" w:hanging="360"/>
      </w:pPr>
      <w:rPr>
        <w:rFonts w:ascii="Arial" w:hAnsi="Arial" w:hint="default"/>
      </w:rPr>
    </w:lvl>
    <w:lvl w:ilvl="7" w:tplc="78EC8D1E" w:tentative="1">
      <w:start w:val="1"/>
      <w:numFmt w:val="bullet"/>
      <w:lvlText w:val="•"/>
      <w:lvlJc w:val="left"/>
      <w:pPr>
        <w:tabs>
          <w:tab w:val="num" w:pos="5760"/>
        </w:tabs>
        <w:ind w:left="5760" w:hanging="360"/>
      </w:pPr>
      <w:rPr>
        <w:rFonts w:ascii="Arial" w:hAnsi="Arial" w:hint="default"/>
      </w:rPr>
    </w:lvl>
    <w:lvl w:ilvl="8" w:tplc="536CDCE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307"/>
    <w:rsid w:val="000A4314"/>
    <w:rsid w:val="001027A7"/>
    <w:rsid w:val="00106797"/>
    <w:rsid w:val="00183516"/>
    <w:rsid w:val="002B7522"/>
    <w:rsid w:val="002D68D3"/>
    <w:rsid w:val="003118AD"/>
    <w:rsid w:val="00312276"/>
    <w:rsid w:val="003752CC"/>
    <w:rsid w:val="00431E07"/>
    <w:rsid w:val="0048368A"/>
    <w:rsid w:val="00570307"/>
    <w:rsid w:val="006B046F"/>
    <w:rsid w:val="00764892"/>
    <w:rsid w:val="00840ACE"/>
    <w:rsid w:val="008427D5"/>
    <w:rsid w:val="00983B7D"/>
    <w:rsid w:val="009D7F35"/>
    <w:rsid w:val="009F463A"/>
    <w:rsid w:val="00AD4419"/>
    <w:rsid w:val="00B221AC"/>
    <w:rsid w:val="00B833C1"/>
    <w:rsid w:val="00BA39C5"/>
    <w:rsid w:val="00D54678"/>
    <w:rsid w:val="00FB4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83484"/>
  <w15:chartTrackingRefBased/>
  <w15:docId w15:val="{07EC1E9B-A840-4047-91A6-1967CD88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03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307"/>
  </w:style>
  <w:style w:type="paragraph" w:styleId="Footer">
    <w:name w:val="footer"/>
    <w:basedOn w:val="Normal"/>
    <w:link w:val="FooterChar"/>
    <w:uiPriority w:val="99"/>
    <w:unhideWhenUsed/>
    <w:rsid w:val="005703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307"/>
  </w:style>
  <w:style w:type="character" w:styleId="Hyperlink">
    <w:name w:val="Hyperlink"/>
    <w:basedOn w:val="DefaultParagraphFont"/>
    <w:uiPriority w:val="99"/>
    <w:semiHidden/>
    <w:unhideWhenUsed/>
    <w:rsid w:val="00AD4419"/>
    <w:rPr>
      <w:color w:val="0000FF"/>
      <w:u w:val="single"/>
    </w:rPr>
  </w:style>
  <w:style w:type="paragraph" w:styleId="NoSpacing">
    <w:name w:val="No Spacing"/>
    <w:uiPriority w:val="1"/>
    <w:qFormat/>
    <w:rsid w:val="00AD4419"/>
    <w:pPr>
      <w:spacing w:after="0" w:line="240" w:lineRule="auto"/>
    </w:pPr>
  </w:style>
  <w:style w:type="character" w:customStyle="1" w:styleId="normaltextrun">
    <w:name w:val="normaltextrun"/>
    <w:basedOn w:val="DefaultParagraphFont"/>
    <w:rsid w:val="00AD4419"/>
  </w:style>
  <w:style w:type="paragraph" w:styleId="ListParagraph">
    <w:name w:val="List Paragraph"/>
    <w:basedOn w:val="Normal"/>
    <w:uiPriority w:val="34"/>
    <w:qFormat/>
    <w:rsid w:val="009F463A"/>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B75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5581">
      <w:bodyDiv w:val="1"/>
      <w:marLeft w:val="0"/>
      <w:marRight w:val="0"/>
      <w:marTop w:val="0"/>
      <w:marBottom w:val="0"/>
      <w:divBdr>
        <w:top w:val="none" w:sz="0" w:space="0" w:color="auto"/>
        <w:left w:val="none" w:sz="0" w:space="0" w:color="auto"/>
        <w:bottom w:val="none" w:sz="0" w:space="0" w:color="auto"/>
        <w:right w:val="none" w:sz="0" w:space="0" w:color="auto"/>
      </w:divBdr>
    </w:div>
    <w:div w:id="418403829">
      <w:bodyDiv w:val="1"/>
      <w:marLeft w:val="0"/>
      <w:marRight w:val="0"/>
      <w:marTop w:val="0"/>
      <w:marBottom w:val="0"/>
      <w:divBdr>
        <w:top w:val="none" w:sz="0" w:space="0" w:color="auto"/>
        <w:left w:val="none" w:sz="0" w:space="0" w:color="auto"/>
        <w:bottom w:val="none" w:sz="0" w:space="0" w:color="auto"/>
        <w:right w:val="none" w:sz="0" w:space="0" w:color="auto"/>
      </w:divBdr>
    </w:div>
    <w:div w:id="914389076">
      <w:bodyDiv w:val="1"/>
      <w:marLeft w:val="0"/>
      <w:marRight w:val="0"/>
      <w:marTop w:val="0"/>
      <w:marBottom w:val="0"/>
      <w:divBdr>
        <w:top w:val="none" w:sz="0" w:space="0" w:color="auto"/>
        <w:left w:val="none" w:sz="0" w:space="0" w:color="auto"/>
        <w:bottom w:val="none" w:sz="0" w:space="0" w:color="auto"/>
        <w:right w:val="none" w:sz="0" w:space="0" w:color="auto"/>
      </w:divBdr>
    </w:div>
    <w:div w:id="992492831">
      <w:bodyDiv w:val="1"/>
      <w:marLeft w:val="0"/>
      <w:marRight w:val="0"/>
      <w:marTop w:val="0"/>
      <w:marBottom w:val="0"/>
      <w:divBdr>
        <w:top w:val="none" w:sz="0" w:space="0" w:color="auto"/>
        <w:left w:val="none" w:sz="0" w:space="0" w:color="auto"/>
        <w:bottom w:val="none" w:sz="0" w:space="0" w:color="auto"/>
        <w:right w:val="none" w:sz="0" w:space="0" w:color="auto"/>
      </w:divBdr>
    </w:div>
    <w:div w:id="1439136384">
      <w:bodyDiv w:val="1"/>
      <w:marLeft w:val="0"/>
      <w:marRight w:val="0"/>
      <w:marTop w:val="0"/>
      <w:marBottom w:val="0"/>
      <w:divBdr>
        <w:top w:val="none" w:sz="0" w:space="0" w:color="auto"/>
        <w:left w:val="none" w:sz="0" w:space="0" w:color="auto"/>
        <w:bottom w:val="none" w:sz="0" w:space="0" w:color="auto"/>
        <w:right w:val="none" w:sz="0" w:space="0" w:color="auto"/>
      </w:divBdr>
      <w:divsChild>
        <w:div w:id="344213131">
          <w:marLeft w:val="446"/>
          <w:marRight w:val="0"/>
          <w:marTop w:val="0"/>
          <w:marBottom w:val="120"/>
          <w:divBdr>
            <w:top w:val="none" w:sz="0" w:space="0" w:color="auto"/>
            <w:left w:val="none" w:sz="0" w:space="0" w:color="auto"/>
            <w:bottom w:val="none" w:sz="0" w:space="0" w:color="auto"/>
            <w:right w:val="none" w:sz="0" w:space="0" w:color="auto"/>
          </w:divBdr>
        </w:div>
      </w:divsChild>
    </w:div>
    <w:div w:id="157096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ledcmn.org"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http://www.neon-mn.org"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rf.usa" TargetMode="External"/><Relationship Id="rId5" Type="http://schemas.openxmlformats.org/officeDocument/2006/relationships/footnotes" Target="footnotes.xml"/><Relationship Id="rId15" Type="http://schemas.openxmlformats.org/officeDocument/2006/relationships/hyperlink" Target="http://www.meda.net"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eds-mn.org"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Hollies Winston</dc:creator>
  <cp:keywords/>
  <dc:description/>
  <cp:lastModifiedBy>Hollies Winston</cp:lastModifiedBy>
  <cp:revision>15</cp:revision>
  <dcterms:created xsi:type="dcterms:W3CDTF">2022-03-29T16:50:00Z</dcterms:created>
  <dcterms:modified xsi:type="dcterms:W3CDTF">2022-03-29T19:41:00Z</dcterms:modified>
</cp:coreProperties>
</file>