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0157F" w14:textId="77777777" w:rsidR="00412590" w:rsidRDefault="00683C89" w:rsidP="00412590">
      <w:pPr>
        <w:pStyle w:val="Heading1"/>
      </w:pPr>
      <w:r w:rsidRPr="00683C89">
        <w:t>Gambling Control Board</w:t>
      </w:r>
      <w:r w:rsidR="00412590">
        <w:tab/>
        <w:t>Agency Profile</w:t>
      </w:r>
    </w:p>
    <w:p w14:paraId="1BF01580" w14:textId="77777777" w:rsidR="00641B08" w:rsidRDefault="00C45A03">
      <w:pPr>
        <w:rPr>
          <w:rStyle w:val="Hyperlink"/>
          <w:rFonts w:ascii="Calibri" w:hAnsi="Calibri"/>
        </w:rPr>
      </w:pPr>
      <w:hyperlink r:id="rId12" w:tooltip="MN Gambling Control Board" w:history="1">
        <w:r w:rsidR="00683C89">
          <w:rPr>
            <w:rStyle w:val="Hyperlink"/>
            <w:rFonts w:ascii="Calibri" w:hAnsi="Calibri"/>
          </w:rPr>
          <w:t>mn.gov/</w:t>
        </w:r>
        <w:proofErr w:type="spellStart"/>
        <w:r w:rsidR="00683C89">
          <w:rPr>
            <w:rStyle w:val="Hyperlink"/>
            <w:rFonts w:ascii="Calibri" w:hAnsi="Calibri"/>
          </w:rPr>
          <w:t>gcb</w:t>
        </w:r>
        <w:proofErr w:type="spellEnd"/>
      </w:hyperlink>
    </w:p>
    <w:tbl>
      <w:tblPr>
        <w:tblStyle w:val="TableGrid"/>
        <w:tblW w:w="0" w:type="auto"/>
        <w:tblBorders>
          <w:top w:val="single" w:sz="4" w:space="0" w:color="D2DAEA"/>
          <w:left w:val="single" w:sz="4" w:space="0" w:color="D2DAEA"/>
          <w:bottom w:val="single" w:sz="4" w:space="0" w:color="D2DAEA"/>
          <w:right w:val="single" w:sz="4" w:space="0" w:color="D2DAEA"/>
          <w:insideH w:val="single" w:sz="4" w:space="0" w:color="D2DAEA"/>
          <w:insideV w:val="single" w:sz="4" w:space="0" w:color="D2DAEA"/>
        </w:tblBorders>
        <w:shd w:val="clear" w:color="auto" w:fill="D2DAEA"/>
        <w:tblLook w:val="04A0" w:firstRow="1" w:lastRow="0" w:firstColumn="1" w:lastColumn="0" w:noHBand="0" w:noVBand="1"/>
      </w:tblPr>
      <w:tblGrid>
        <w:gridCol w:w="10214"/>
      </w:tblGrid>
      <w:tr w:rsidR="002F51BD" w14:paraId="1BF0158A" w14:textId="77777777" w:rsidTr="0013141A">
        <w:tc>
          <w:tcPr>
            <w:tcW w:w="10214" w:type="dxa"/>
            <w:shd w:val="clear" w:color="auto" w:fill="D2DAEA"/>
          </w:tcPr>
          <w:p w14:paraId="1BF01581" w14:textId="77777777" w:rsidR="002F51BD" w:rsidRDefault="002F51BD" w:rsidP="002F51BD">
            <w:pPr>
              <w:pStyle w:val="Heading2"/>
              <w:outlineLvl w:val="1"/>
            </w:pPr>
            <w:r>
              <w:t>At a glance</w:t>
            </w:r>
          </w:p>
          <w:p w14:paraId="1BF01582" w14:textId="77777777" w:rsidR="00683C89" w:rsidRDefault="00683C89" w:rsidP="00683C89">
            <w:pPr>
              <w:pStyle w:val="ListParagraph"/>
              <w:numPr>
                <w:ilvl w:val="0"/>
                <w:numId w:val="9"/>
              </w:numPr>
            </w:pPr>
            <w:r>
              <w:t>Minnesota ranks #1 in the U.S. for charitable gambling</w:t>
            </w:r>
          </w:p>
          <w:p w14:paraId="1BF01583" w14:textId="4D5AF837" w:rsidR="00683C89" w:rsidRDefault="00683C89" w:rsidP="00683C89">
            <w:pPr>
              <w:pStyle w:val="ListParagraph"/>
              <w:numPr>
                <w:ilvl w:val="0"/>
                <w:numId w:val="9"/>
              </w:numPr>
            </w:pPr>
            <w:r>
              <w:t>Lawfu</w:t>
            </w:r>
            <w:r w:rsidR="003B69A7">
              <w:t>l gambling gross receipts = $</w:t>
            </w:r>
            <w:r w:rsidR="00675447">
              <w:t>2</w:t>
            </w:r>
            <w:r w:rsidR="00AD177D">
              <w:t>.1</w:t>
            </w:r>
            <w:r w:rsidR="00675447">
              <w:t xml:space="preserve"> billion for FY20</w:t>
            </w:r>
          </w:p>
          <w:p w14:paraId="1BF01584" w14:textId="3A4D9C96" w:rsidR="00683C89" w:rsidRDefault="00C05275" w:rsidP="00683C89">
            <w:pPr>
              <w:pStyle w:val="ListParagraph"/>
              <w:numPr>
                <w:ilvl w:val="0"/>
                <w:numId w:val="9"/>
              </w:numPr>
            </w:pPr>
            <w:r>
              <w:t xml:space="preserve">Licensed </w:t>
            </w:r>
            <w:r w:rsidR="00713883">
              <w:t>organizations deposited over $7</w:t>
            </w:r>
            <w:r w:rsidR="00AD177D">
              <w:t>3</w:t>
            </w:r>
            <w:r>
              <w:t xml:space="preserve"> million to support their missions in FY</w:t>
            </w:r>
            <w:r w:rsidR="00AD177D">
              <w:t>20</w:t>
            </w:r>
          </w:p>
          <w:p w14:paraId="1D9ECBB3" w14:textId="7BBF4BF0" w:rsidR="00C05275" w:rsidRDefault="00C05275" w:rsidP="00683C89">
            <w:pPr>
              <w:pStyle w:val="ListParagraph"/>
              <w:numPr>
                <w:ilvl w:val="0"/>
                <w:numId w:val="9"/>
              </w:numPr>
            </w:pPr>
            <w:r>
              <w:t>Minnesota collected $7</w:t>
            </w:r>
            <w:r w:rsidR="00AD177D">
              <w:t>8</w:t>
            </w:r>
            <w:r>
              <w:t xml:space="preserve"> million in charitable gambling taxes in FY</w:t>
            </w:r>
            <w:r w:rsidR="00AD177D">
              <w:t>20</w:t>
            </w:r>
          </w:p>
          <w:p w14:paraId="1BF01585" w14:textId="0360328C" w:rsidR="00683C89" w:rsidRDefault="00AD177D" w:rsidP="00683C89">
            <w:pPr>
              <w:pStyle w:val="ListParagraph"/>
              <w:numPr>
                <w:ilvl w:val="0"/>
                <w:numId w:val="9"/>
              </w:numPr>
            </w:pPr>
            <w:r>
              <w:t>5</w:t>
            </w:r>
            <w:r w:rsidR="00DD4AEA">
              <w:t>,5</w:t>
            </w:r>
            <w:r>
              <w:t>93</w:t>
            </w:r>
            <w:r w:rsidR="00683C89">
              <w:t xml:space="preserve"> new game</w:t>
            </w:r>
            <w:r w:rsidR="00142F01">
              <w:t>s tested and approved in FY20</w:t>
            </w:r>
          </w:p>
          <w:p w14:paraId="1BF01586" w14:textId="18E50E11" w:rsidR="00683C89" w:rsidRDefault="00675447" w:rsidP="00683C89">
            <w:pPr>
              <w:pStyle w:val="ListParagraph"/>
              <w:numPr>
                <w:ilvl w:val="0"/>
                <w:numId w:val="9"/>
              </w:numPr>
            </w:pPr>
            <w:r>
              <w:t>1,1</w:t>
            </w:r>
            <w:r w:rsidR="00AD177D">
              <w:t>44</w:t>
            </w:r>
            <w:r w:rsidR="00683C89">
              <w:t xml:space="preserve"> licensed charitable organizations (conduct gamblin</w:t>
            </w:r>
            <w:r>
              <w:t xml:space="preserve">g </w:t>
            </w:r>
            <w:proofErr w:type="gramStart"/>
            <w:r>
              <w:t>year round</w:t>
            </w:r>
            <w:proofErr w:type="gramEnd"/>
            <w:r>
              <w:t xml:space="preserve">) operating at </w:t>
            </w:r>
            <w:r w:rsidR="00AD177D">
              <w:t>~</w:t>
            </w:r>
            <w:r>
              <w:t>2,800</w:t>
            </w:r>
            <w:r w:rsidR="00683C89">
              <w:t xml:space="preserve"> sites</w:t>
            </w:r>
          </w:p>
          <w:p w14:paraId="1BF01587" w14:textId="28E40FBB" w:rsidR="00683C89" w:rsidRDefault="00683C89" w:rsidP="00683C89">
            <w:pPr>
              <w:pStyle w:val="ListParagraph"/>
              <w:numPr>
                <w:ilvl w:val="0"/>
                <w:numId w:val="9"/>
              </w:numPr>
            </w:pPr>
            <w:r>
              <w:t xml:space="preserve">Issued </w:t>
            </w:r>
            <w:r w:rsidR="00AD177D">
              <w:t>~</w:t>
            </w:r>
            <w:r w:rsidR="00675447">
              <w:t>4,000</w:t>
            </w:r>
            <w:r>
              <w:t xml:space="preserve"> tax-exempt permits (conduct limited gambling with pr</w:t>
            </w:r>
            <w:r w:rsidR="000028EF">
              <w:t xml:space="preserve">ize value less than $50,000) </w:t>
            </w:r>
            <w:r w:rsidR="00AD177D">
              <w:t>&gt;</w:t>
            </w:r>
            <w:r w:rsidR="000028EF">
              <w:t>$</w:t>
            </w:r>
            <w:r w:rsidR="00AD177D">
              <w:t>40</w:t>
            </w:r>
            <w:r>
              <w:t xml:space="preserve"> million in tax-exempt receipts for FY</w:t>
            </w:r>
            <w:r w:rsidR="000028EF">
              <w:t>20</w:t>
            </w:r>
          </w:p>
          <w:p w14:paraId="1BF01589" w14:textId="5C4E1E30" w:rsidR="002F51BD" w:rsidRPr="00220747" w:rsidRDefault="00683C89" w:rsidP="00683C89">
            <w:pPr>
              <w:pStyle w:val="ListParagraph"/>
              <w:numPr>
                <w:ilvl w:val="0"/>
                <w:numId w:val="9"/>
              </w:numPr>
            </w:pPr>
            <w:r>
              <w:t xml:space="preserve">For every dollar wagered on charitable gambling in Minnesota </w:t>
            </w:r>
            <w:r w:rsidR="00AD177D">
              <w:t>&lt;</w:t>
            </w:r>
            <w:r>
              <w:t>2/10th of one cent ($.00</w:t>
            </w:r>
            <w:r w:rsidR="005361B9">
              <w:t>16</w:t>
            </w:r>
            <w:r>
              <w:t>) goes to fund the board for lawful gambling regulation</w:t>
            </w:r>
          </w:p>
        </w:tc>
      </w:tr>
    </w:tbl>
    <w:p w14:paraId="1BF0158B" w14:textId="77777777" w:rsidR="00847518" w:rsidRDefault="00847518" w:rsidP="00373B60">
      <w:pPr>
        <w:pStyle w:val="Heading2"/>
        <w:spacing w:before="120"/>
      </w:pPr>
      <w:r>
        <w:t>Purpose</w:t>
      </w:r>
    </w:p>
    <w:p w14:paraId="1BF0158C" w14:textId="77777777" w:rsidR="007B6081" w:rsidRDefault="007B6081" w:rsidP="007B6081">
      <w:r>
        <w:t xml:space="preserve">The Gambling Control Board regulates the lawful (charitable) gambling industry to ensure the integrity of operations and provide for the lawful use of net profits.  Lawful gambling in Minnesota includes bingo, raffles, pull-tabs, </w:t>
      </w:r>
      <w:proofErr w:type="spellStart"/>
      <w:r>
        <w:t>tipboards</w:t>
      </w:r>
      <w:proofErr w:type="spellEnd"/>
      <w:r>
        <w:t>, and paddlewheels.  Required accountability and reporting by registered nonprofit organizations ensures proceeds are used for appropriate charitable needs to provide:</w:t>
      </w:r>
    </w:p>
    <w:p w14:paraId="1BF0158D" w14:textId="77777777" w:rsidR="007B6081" w:rsidRDefault="007B6081" w:rsidP="007B6081">
      <w:pPr>
        <w:pStyle w:val="ListParagraph"/>
        <w:numPr>
          <w:ilvl w:val="0"/>
          <w:numId w:val="10"/>
        </w:numPr>
      </w:pPr>
      <w:r>
        <w:t>Support for Minnesota veterans and their families</w:t>
      </w:r>
    </w:p>
    <w:p w14:paraId="1BF0158E" w14:textId="77777777" w:rsidR="007B6081" w:rsidRDefault="007B6081" w:rsidP="007B6081">
      <w:pPr>
        <w:pStyle w:val="ListParagraph"/>
        <w:numPr>
          <w:ilvl w:val="0"/>
          <w:numId w:val="10"/>
        </w:numPr>
      </w:pPr>
      <w:r>
        <w:t>Reduced costs for youth activities</w:t>
      </w:r>
    </w:p>
    <w:p w14:paraId="1BF0158F" w14:textId="77777777" w:rsidR="007B6081" w:rsidRDefault="007B6081" w:rsidP="007B6081">
      <w:pPr>
        <w:pStyle w:val="ListParagraph"/>
        <w:numPr>
          <w:ilvl w:val="0"/>
          <w:numId w:val="10"/>
        </w:numPr>
      </w:pPr>
      <w:r>
        <w:t>Fire and safety equipment for local communities</w:t>
      </w:r>
    </w:p>
    <w:p w14:paraId="1BF01590" w14:textId="77777777" w:rsidR="007B6081" w:rsidRDefault="007B6081" w:rsidP="007B6081">
      <w:pPr>
        <w:pStyle w:val="ListParagraph"/>
        <w:numPr>
          <w:ilvl w:val="0"/>
          <w:numId w:val="10"/>
        </w:numPr>
      </w:pPr>
      <w:r>
        <w:t>Educational and training opportunities for religious and community programs</w:t>
      </w:r>
    </w:p>
    <w:p w14:paraId="1BF01591" w14:textId="77777777" w:rsidR="007B6081" w:rsidRDefault="007B6081" w:rsidP="007B6081">
      <w:pPr>
        <w:pStyle w:val="ListParagraph"/>
        <w:numPr>
          <w:ilvl w:val="0"/>
          <w:numId w:val="10"/>
        </w:numPr>
      </w:pPr>
      <w:r>
        <w:t>Support for local units of government and community projects</w:t>
      </w:r>
    </w:p>
    <w:p w14:paraId="1BF01592" w14:textId="77777777" w:rsidR="007B6081" w:rsidRDefault="007B6081" w:rsidP="007B6081">
      <w:pPr>
        <w:pStyle w:val="ListParagraph"/>
        <w:numPr>
          <w:ilvl w:val="0"/>
          <w:numId w:val="10"/>
        </w:numPr>
      </w:pPr>
      <w:r>
        <w:t>Support for wildlife and natural resources programs</w:t>
      </w:r>
    </w:p>
    <w:p w14:paraId="1BF01593" w14:textId="77777777" w:rsidR="007B6081" w:rsidRDefault="007B6081" w:rsidP="007B6081">
      <w:pPr>
        <w:pStyle w:val="ListParagraph"/>
        <w:numPr>
          <w:ilvl w:val="0"/>
          <w:numId w:val="10"/>
        </w:numPr>
      </w:pPr>
      <w:r>
        <w:t>Support for fraternal groups (Eagles, Moose, Elks, Knights of Columbus)</w:t>
      </w:r>
    </w:p>
    <w:p w14:paraId="1BF01594" w14:textId="77777777" w:rsidR="00847518" w:rsidRPr="007775BA" w:rsidRDefault="007B6081" w:rsidP="007B6081">
      <w:pPr>
        <w:pStyle w:val="ListParagraph"/>
        <w:numPr>
          <w:ilvl w:val="0"/>
          <w:numId w:val="10"/>
        </w:numPr>
      </w:pPr>
      <w:r>
        <w:t>Support for clubs including Lions, Jaycees, rod and gun, sports and snowmobile</w:t>
      </w:r>
    </w:p>
    <w:p w14:paraId="1BF01595" w14:textId="77777777" w:rsidR="00A854EE" w:rsidRDefault="00A854EE" w:rsidP="008433CF">
      <w:pPr>
        <w:pStyle w:val="Heading2"/>
        <w:ind w:left="1440" w:firstLine="720"/>
        <w:jc w:val="left"/>
      </w:pPr>
      <w:r>
        <w:t>Budget</w:t>
      </w:r>
    </w:p>
    <w:p w14:paraId="1BF01596" w14:textId="77777777" w:rsidR="00A854EE" w:rsidRDefault="00A854EE" w:rsidP="006346CD">
      <w:pPr>
        <w:spacing w:after="120"/>
        <w:sectPr w:rsidR="00A854EE" w:rsidSect="00894933">
          <w:type w:val="continuous"/>
          <w:pgSz w:w="12240" w:h="15840"/>
          <w:pgMar w:top="720" w:right="1008" w:bottom="1440" w:left="1008" w:header="720" w:footer="720" w:gutter="0"/>
          <w:cols w:space="720"/>
          <w:docGrid w:linePitch="360"/>
        </w:sectPr>
      </w:pPr>
    </w:p>
    <w:p w14:paraId="7AB06C9D" w14:textId="77777777" w:rsidR="00367073" w:rsidRDefault="00894933" w:rsidP="00745F77">
      <w:pPr>
        <w:spacing w:after="0"/>
      </w:pPr>
      <w:r>
        <w:rPr>
          <w:noProof/>
        </w:rPr>
        <w:drawing>
          <wp:inline distT="0" distB="0" distL="0" distR="0" wp14:anchorId="1BF015CF" wp14:editId="5BD81E5D">
            <wp:extent cx="3108960" cy="261429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BF01597" w14:textId="540FBC1C" w:rsidR="00A854EE" w:rsidRDefault="008433CF" w:rsidP="00745F77">
      <w:pPr>
        <w:spacing w:after="0"/>
      </w:pPr>
      <w:r>
        <w:rPr>
          <w:noProof/>
        </w:rPr>
        <w:drawing>
          <wp:inline distT="0" distB="0" distL="0" distR="0" wp14:anchorId="7781ACB6" wp14:editId="7A351B54">
            <wp:extent cx="3038475" cy="25908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BF0159A" w14:textId="77777777" w:rsidR="007765CB" w:rsidRPr="007765CB" w:rsidRDefault="00B37478" w:rsidP="008433CF">
      <w:pPr>
        <w:pStyle w:val="Caption"/>
        <w:spacing w:after="120"/>
        <w:jc w:val="left"/>
      </w:pPr>
      <w:r w:rsidRPr="00AC6006">
        <w:t xml:space="preserve">Source: </w:t>
      </w:r>
      <w:r w:rsidR="00880FBF">
        <w:t>Consolidated Fund Statement</w:t>
      </w:r>
    </w:p>
    <w:p w14:paraId="1BF0159B" w14:textId="5ADE2892" w:rsidR="00A854EE" w:rsidRDefault="00A854EE" w:rsidP="008433CF">
      <w:pPr>
        <w:pStyle w:val="Caption"/>
        <w:spacing w:after="120"/>
        <w:sectPr w:rsidR="00A854EE" w:rsidSect="00894933">
          <w:type w:val="continuous"/>
          <w:pgSz w:w="12240" w:h="15840"/>
          <w:pgMar w:top="720" w:right="1008" w:bottom="1440" w:left="1008" w:header="720" w:footer="720" w:gutter="0"/>
          <w:cols w:num="2" w:space="432"/>
          <w:docGrid w:linePitch="360"/>
        </w:sectPr>
      </w:pPr>
    </w:p>
    <w:p w14:paraId="1BF0159C" w14:textId="1451DD4B" w:rsidR="007B6081" w:rsidRPr="00C42B06" w:rsidRDefault="007B6081" w:rsidP="007B6081">
      <w:r w:rsidRPr="00C42B06">
        <w:lastRenderedPageBreak/>
        <w:t xml:space="preserve">The Gambling Control Board is entirely funded by the industry regulated.  All fees collected go into the dedicated lawful gambling regulatory account.  License fees are collected from manufacturers, distributors, distributor salespersons, and linked bingo providers.  Manufacturers also pay for game approval and testing.  Nonprofit organizations conducting gambling pay license and </w:t>
      </w:r>
      <w:r w:rsidR="008A66AC">
        <w:t xml:space="preserve">premises </w:t>
      </w:r>
      <w:r w:rsidRPr="00C42B06">
        <w:t>permit fees along with a regulatory fee based on gross sales.  In FY</w:t>
      </w:r>
      <w:r>
        <w:t xml:space="preserve"> </w:t>
      </w:r>
      <w:r w:rsidR="00682A9A">
        <w:t>20</w:t>
      </w:r>
      <w:r w:rsidR="008A66AC">
        <w:t>20,</w:t>
      </w:r>
      <w:r w:rsidRPr="00C42B06">
        <w:t xml:space="preserve"> a t</w:t>
      </w:r>
      <w:r w:rsidR="0002133F">
        <w:t>otal of $4,</w:t>
      </w:r>
      <w:r w:rsidR="007826D2">
        <w:t>4</w:t>
      </w:r>
      <w:r w:rsidR="0002133F">
        <w:t>1</w:t>
      </w:r>
      <w:r w:rsidR="007826D2">
        <w:t>2</w:t>
      </w:r>
      <w:r w:rsidR="0002133F">
        <w:t>,</w:t>
      </w:r>
      <w:r w:rsidR="007826D2">
        <w:t>000</w:t>
      </w:r>
      <w:r w:rsidR="0019287E">
        <w:t xml:space="preserve"> was collected </w:t>
      </w:r>
      <w:r w:rsidR="007826D2">
        <w:t>as Board fees</w:t>
      </w:r>
      <w:r w:rsidR="00880FBF">
        <w:t>.</w:t>
      </w:r>
    </w:p>
    <w:p w14:paraId="1BF0159D" w14:textId="77777777" w:rsidR="00B37478" w:rsidRDefault="00B37478" w:rsidP="00B37478">
      <w:pPr>
        <w:pStyle w:val="Heading2"/>
      </w:pPr>
      <w:r>
        <w:t>STRATEGIES</w:t>
      </w:r>
    </w:p>
    <w:p w14:paraId="1BF0159E" w14:textId="7884CDA8" w:rsidR="007B6081" w:rsidRDefault="007B6081" w:rsidP="007B6081">
      <w:r>
        <w:t>The board consists of seven citizens and 3</w:t>
      </w:r>
      <w:r w:rsidR="00FC1227">
        <w:t>1</w:t>
      </w:r>
      <w:bookmarkStart w:id="0" w:name="_GoBack"/>
      <w:bookmarkEnd w:id="0"/>
      <w:r>
        <w:t xml:space="preserve"> full-time equivalent staff.  Regulation, education and guidance are provided to the lawful gambling industry through:</w:t>
      </w:r>
    </w:p>
    <w:p w14:paraId="1BF0159F" w14:textId="77777777" w:rsidR="007B6081" w:rsidRDefault="007B6081" w:rsidP="007B6081">
      <w:pPr>
        <w:pStyle w:val="ListParagraph"/>
        <w:numPr>
          <w:ilvl w:val="0"/>
          <w:numId w:val="11"/>
        </w:numPr>
      </w:pPr>
      <w:r>
        <w:t>Monthly board meetings to consider games and licenses and to approve special use of gambling funds</w:t>
      </w:r>
    </w:p>
    <w:p w14:paraId="1BF015A0" w14:textId="77777777" w:rsidR="007B6081" w:rsidRDefault="007B6081" w:rsidP="007B6081">
      <w:pPr>
        <w:pStyle w:val="ListParagraph"/>
        <w:numPr>
          <w:ilvl w:val="0"/>
          <w:numId w:val="11"/>
        </w:numPr>
      </w:pPr>
      <w:r>
        <w:t>Issuing licenses and permits for nonprofit organizations, distributors, manufacturers and linked bingo providers</w:t>
      </w:r>
    </w:p>
    <w:p w14:paraId="1BF015A1" w14:textId="77777777" w:rsidR="007B6081" w:rsidRDefault="007B6081" w:rsidP="007B6081">
      <w:pPr>
        <w:pStyle w:val="ListParagraph"/>
        <w:numPr>
          <w:ilvl w:val="0"/>
          <w:numId w:val="11"/>
        </w:numPr>
      </w:pPr>
      <w:r>
        <w:t>Compliance reviews and audits of nonprofit organizations’ gambling activities</w:t>
      </w:r>
    </w:p>
    <w:p w14:paraId="1BF015A2" w14:textId="77777777" w:rsidR="007B6081" w:rsidRDefault="007B6081" w:rsidP="007B6081">
      <w:pPr>
        <w:pStyle w:val="ListParagraph"/>
        <w:numPr>
          <w:ilvl w:val="0"/>
          <w:numId w:val="11"/>
        </w:numPr>
      </w:pPr>
      <w:r>
        <w:t>Analyzing expenditures and charitable donations reported monthly by licensed organizations</w:t>
      </w:r>
    </w:p>
    <w:p w14:paraId="1BF015A3" w14:textId="77777777" w:rsidR="007B6081" w:rsidRDefault="007B6081" w:rsidP="007B6081">
      <w:pPr>
        <w:pStyle w:val="ListParagraph"/>
        <w:numPr>
          <w:ilvl w:val="0"/>
          <w:numId w:val="11"/>
        </w:numPr>
      </w:pPr>
      <w:r>
        <w:t>An individualized mentoring program for nonprofit organizations to ensure compliance with statute</w:t>
      </w:r>
    </w:p>
    <w:p w14:paraId="1BF015A4" w14:textId="77777777" w:rsidR="007B6081" w:rsidRDefault="007B6081" w:rsidP="007B6081">
      <w:pPr>
        <w:pStyle w:val="ListParagraph"/>
        <w:numPr>
          <w:ilvl w:val="0"/>
          <w:numId w:val="11"/>
        </w:numPr>
      </w:pPr>
      <w:r>
        <w:t>Investigations for theft and fraud by inspecting gambling products and sites, investigating irregularities found during compliance reviews and responding to allegations made by players</w:t>
      </w:r>
    </w:p>
    <w:p w14:paraId="1BF015A5" w14:textId="77777777" w:rsidR="007B6081" w:rsidRDefault="007B6081" w:rsidP="007B6081">
      <w:pPr>
        <w:pStyle w:val="ListParagraph"/>
        <w:numPr>
          <w:ilvl w:val="0"/>
          <w:numId w:val="11"/>
        </w:numPr>
      </w:pPr>
      <w:r>
        <w:t>Sanctions or fines on licensees that are out of compliance with law and rules</w:t>
      </w:r>
    </w:p>
    <w:p w14:paraId="1BF015A6" w14:textId="77777777" w:rsidR="007B6081" w:rsidRDefault="007B6081" w:rsidP="007B6081">
      <w:pPr>
        <w:pStyle w:val="ListParagraph"/>
        <w:numPr>
          <w:ilvl w:val="0"/>
          <w:numId w:val="11"/>
        </w:numPr>
      </w:pPr>
      <w:r>
        <w:t xml:space="preserve">Monthly gambling manager seminars, continuing education classes, and presentations at state-level conventions </w:t>
      </w:r>
    </w:p>
    <w:p w14:paraId="1BF015A7" w14:textId="77777777" w:rsidR="007B6081" w:rsidRDefault="007B6081" w:rsidP="007B6081">
      <w:pPr>
        <w:pStyle w:val="ListParagraph"/>
        <w:numPr>
          <w:ilvl w:val="0"/>
          <w:numId w:val="11"/>
        </w:numPr>
      </w:pPr>
      <w:r>
        <w:t>Publication of Lawful Gambling Manual, quarterly industry newsletter, and other materials</w:t>
      </w:r>
    </w:p>
    <w:p w14:paraId="1BF015A9" w14:textId="77777777" w:rsidR="0052224B" w:rsidRDefault="0052224B" w:rsidP="0052224B">
      <w:pPr>
        <w:pStyle w:val="Heading2"/>
      </w:pPr>
      <w:r>
        <w:t>RESULTS</w:t>
      </w:r>
    </w:p>
    <w:tbl>
      <w:tblPr>
        <w:tblStyle w:val="TableGrid"/>
        <w:tblW w:w="8730" w:type="dxa"/>
        <w:tblInd w:w="85" w:type="dxa"/>
        <w:tblLayout w:type="fixed"/>
        <w:tblCellMar>
          <w:left w:w="115" w:type="dxa"/>
          <w:right w:w="115" w:type="dxa"/>
        </w:tblCellMar>
        <w:tblLook w:val="04A0" w:firstRow="1" w:lastRow="0" w:firstColumn="1" w:lastColumn="0" w:noHBand="0" w:noVBand="1"/>
        <w:tblDescription w:val="Results achieved by this activity"/>
      </w:tblPr>
      <w:tblGrid>
        <w:gridCol w:w="1260"/>
        <w:gridCol w:w="4050"/>
        <w:gridCol w:w="1710"/>
        <w:gridCol w:w="1710"/>
      </w:tblGrid>
      <w:tr w:rsidR="00B9592A" w:rsidRPr="0099208E" w14:paraId="1BF015AF" w14:textId="77777777" w:rsidTr="00B9592A">
        <w:trPr>
          <w:cantSplit/>
          <w:tblHeader/>
        </w:trPr>
        <w:tc>
          <w:tcPr>
            <w:tcW w:w="1260" w:type="dxa"/>
            <w:tcBorders>
              <w:bottom w:val="single" w:sz="12" w:space="0" w:color="auto"/>
            </w:tcBorders>
          </w:tcPr>
          <w:p w14:paraId="1BF015AA" w14:textId="77777777" w:rsidR="00B9592A" w:rsidRPr="0099208E" w:rsidRDefault="00B9592A" w:rsidP="00D1477F">
            <w:pPr>
              <w:spacing w:before="60" w:after="40"/>
              <w:rPr>
                <w:rStyle w:val="IntenseEmphasis"/>
              </w:rPr>
            </w:pPr>
            <w:r w:rsidRPr="0099208E">
              <w:rPr>
                <w:rStyle w:val="IntenseEmphasis"/>
              </w:rPr>
              <w:t>Type of Measure</w:t>
            </w:r>
          </w:p>
        </w:tc>
        <w:tc>
          <w:tcPr>
            <w:tcW w:w="4050" w:type="dxa"/>
            <w:tcBorders>
              <w:bottom w:val="single" w:sz="12" w:space="0" w:color="auto"/>
            </w:tcBorders>
          </w:tcPr>
          <w:p w14:paraId="1BF015AB" w14:textId="77777777" w:rsidR="00B9592A" w:rsidRPr="0099208E" w:rsidRDefault="00B9592A" w:rsidP="00D1477F">
            <w:pPr>
              <w:spacing w:before="60" w:after="40"/>
              <w:rPr>
                <w:rStyle w:val="IntenseEmphasis"/>
              </w:rPr>
            </w:pPr>
            <w:r w:rsidRPr="0099208E">
              <w:rPr>
                <w:rStyle w:val="IntenseEmphasis"/>
              </w:rPr>
              <w:t>Name of Measure</w:t>
            </w:r>
          </w:p>
        </w:tc>
        <w:tc>
          <w:tcPr>
            <w:tcW w:w="1710" w:type="dxa"/>
            <w:tcBorders>
              <w:bottom w:val="single" w:sz="12" w:space="0" w:color="auto"/>
            </w:tcBorders>
          </w:tcPr>
          <w:p w14:paraId="7FD362BF" w14:textId="77777777" w:rsidR="00B9592A" w:rsidRDefault="00A73E4C" w:rsidP="00D1477F">
            <w:pPr>
              <w:spacing w:before="60" w:after="40"/>
              <w:jc w:val="center"/>
              <w:rPr>
                <w:rStyle w:val="IntenseEmphasis"/>
              </w:rPr>
            </w:pPr>
            <w:r>
              <w:rPr>
                <w:rStyle w:val="IntenseEmphasis"/>
              </w:rPr>
              <w:t>FY2019</w:t>
            </w:r>
          </w:p>
          <w:p w14:paraId="1BF015AC" w14:textId="4A3DD54E" w:rsidR="002B1258" w:rsidRPr="0099208E" w:rsidRDefault="002B1258" w:rsidP="00D1477F">
            <w:pPr>
              <w:spacing w:before="60" w:after="40"/>
              <w:jc w:val="center"/>
              <w:rPr>
                <w:rStyle w:val="IntenseEmphasis"/>
              </w:rPr>
            </w:pPr>
            <w:r>
              <w:rPr>
                <w:rStyle w:val="IntenseEmphasis"/>
              </w:rPr>
              <w:t>As of 6/30/19</w:t>
            </w:r>
          </w:p>
        </w:tc>
        <w:tc>
          <w:tcPr>
            <w:tcW w:w="1710" w:type="dxa"/>
            <w:tcBorders>
              <w:bottom w:val="single" w:sz="12" w:space="0" w:color="auto"/>
            </w:tcBorders>
          </w:tcPr>
          <w:p w14:paraId="713326F1" w14:textId="77777777" w:rsidR="00B9592A" w:rsidRDefault="00A73E4C" w:rsidP="00D1477F">
            <w:pPr>
              <w:spacing w:before="60" w:after="40"/>
              <w:jc w:val="center"/>
              <w:rPr>
                <w:rStyle w:val="IntenseEmphasis"/>
              </w:rPr>
            </w:pPr>
            <w:r>
              <w:rPr>
                <w:rStyle w:val="IntenseEmphasis"/>
              </w:rPr>
              <w:t>FY2020</w:t>
            </w:r>
          </w:p>
          <w:p w14:paraId="1BF015AD" w14:textId="7AD9D705" w:rsidR="002B1258" w:rsidRPr="0099208E" w:rsidRDefault="002B1258" w:rsidP="00D1477F">
            <w:pPr>
              <w:spacing w:before="60" w:after="40"/>
              <w:jc w:val="center"/>
              <w:rPr>
                <w:rStyle w:val="IntenseEmphasis"/>
              </w:rPr>
            </w:pPr>
            <w:r>
              <w:rPr>
                <w:rStyle w:val="IntenseEmphasis"/>
              </w:rPr>
              <w:t>As of 6/30/20</w:t>
            </w:r>
          </w:p>
        </w:tc>
      </w:tr>
      <w:tr w:rsidR="00B9592A" w14:paraId="1BF015B5" w14:textId="77777777" w:rsidTr="00B9592A">
        <w:trPr>
          <w:cantSplit/>
        </w:trPr>
        <w:tc>
          <w:tcPr>
            <w:tcW w:w="1260" w:type="dxa"/>
            <w:tcBorders>
              <w:top w:val="single" w:sz="12" w:space="0" w:color="auto"/>
            </w:tcBorders>
          </w:tcPr>
          <w:p w14:paraId="1BF015B0" w14:textId="77777777" w:rsidR="00B9592A" w:rsidRPr="001B2EE5" w:rsidRDefault="00B9592A" w:rsidP="00D1477F">
            <w:pPr>
              <w:spacing w:before="60" w:after="40"/>
            </w:pPr>
            <w:r w:rsidRPr="001B2EE5">
              <w:t>Quantity</w:t>
            </w:r>
          </w:p>
        </w:tc>
        <w:tc>
          <w:tcPr>
            <w:tcW w:w="4050" w:type="dxa"/>
            <w:tcBorders>
              <w:top w:val="single" w:sz="12" w:space="0" w:color="auto"/>
            </w:tcBorders>
          </w:tcPr>
          <w:p w14:paraId="1BF015B1" w14:textId="77777777" w:rsidR="00B9592A" w:rsidRPr="001B2EE5" w:rsidRDefault="00B9592A" w:rsidP="00D1477F">
            <w:pPr>
              <w:spacing w:before="60" w:after="40"/>
            </w:pPr>
            <w:r w:rsidRPr="001B2EE5">
              <w:t>Lawful Gambling Gross Receipts-Taxed Lawful Gambling Gross Receipts-Tax Exempt</w:t>
            </w:r>
          </w:p>
        </w:tc>
        <w:tc>
          <w:tcPr>
            <w:tcW w:w="1710" w:type="dxa"/>
            <w:tcBorders>
              <w:top w:val="single" w:sz="12" w:space="0" w:color="auto"/>
            </w:tcBorders>
          </w:tcPr>
          <w:p w14:paraId="1BF015B2" w14:textId="31A077FB" w:rsidR="00B9592A" w:rsidRPr="001B2EE5" w:rsidRDefault="00B9592A" w:rsidP="00675447">
            <w:pPr>
              <w:spacing w:before="60" w:after="40"/>
              <w:jc w:val="right"/>
            </w:pPr>
            <w:r>
              <w:t>$</w:t>
            </w:r>
            <w:r w:rsidR="00A73E4C">
              <w:t>2</w:t>
            </w:r>
            <w:r>
              <w:t>,</w:t>
            </w:r>
            <w:r w:rsidR="00A73E4C">
              <w:t>3</w:t>
            </w:r>
            <w:r>
              <w:t>3</w:t>
            </w:r>
            <w:r w:rsidR="00A73E4C">
              <w:t>3</w:t>
            </w:r>
            <w:r>
              <w:t>,</w:t>
            </w:r>
            <w:r w:rsidR="00A73E4C">
              <w:t>0</w:t>
            </w:r>
            <w:r>
              <w:t>8</w:t>
            </w:r>
            <w:r w:rsidR="00A73E4C">
              <w:t>6</w:t>
            </w:r>
            <w:r>
              <w:t>,000</w:t>
            </w:r>
            <w:r w:rsidRPr="001B2EE5">
              <w:t xml:space="preserve"> </w:t>
            </w:r>
            <w:r w:rsidR="00A73E4C">
              <w:t>47</w:t>
            </w:r>
            <w:r>
              <w:t>,</w:t>
            </w:r>
            <w:r w:rsidR="00A73E4C">
              <w:t>837</w:t>
            </w:r>
            <w:r>
              <w:t>,</w:t>
            </w:r>
            <w:r w:rsidR="00A73E4C">
              <w:t>338</w:t>
            </w:r>
          </w:p>
        </w:tc>
        <w:tc>
          <w:tcPr>
            <w:tcW w:w="1710" w:type="dxa"/>
            <w:tcBorders>
              <w:top w:val="single" w:sz="12" w:space="0" w:color="auto"/>
            </w:tcBorders>
          </w:tcPr>
          <w:p w14:paraId="1BF015B3" w14:textId="5EB22966" w:rsidR="00B9592A" w:rsidRPr="001B2EE5" w:rsidRDefault="00B9592A" w:rsidP="00675447">
            <w:pPr>
              <w:spacing w:before="60" w:after="40"/>
              <w:jc w:val="right"/>
            </w:pPr>
            <w:r>
              <w:t>$</w:t>
            </w:r>
            <w:r w:rsidR="00A73E4C">
              <w:t>2</w:t>
            </w:r>
            <w:r>
              <w:t>,</w:t>
            </w:r>
            <w:r w:rsidR="00A73E4C">
              <w:t>082</w:t>
            </w:r>
            <w:r>
              <w:t>,</w:t>
            </w:r>
            <w:r w:rsidR="00A73E4C">
              <w:t>222</w:t>
            </w:r>
            <w:r>
              <w:t>,000</w:t>
            </w:r>
            <w:r w:rsidRPr="001B2EE5">
              <w:t xml:space="preserve"> </w:t>
            </w:r>
            <w:r w:rsidR="00A73E4C">
              <w:t>40</w:t>
            </w:r>
            <w:r>
              <w:t>,</w:t>
            </w:r>
            <w:r w:rsidR="00A73E4C">
              <w:t>153</w:t>
            </w:r>
            <w:r>
              <w:t>,</w:t>
            </w:r>
            <w:r w:rsidR="00A73E4C">
              <w:t>661</w:t>
            </w:r>
          </w:p>
        </w:tc>
      </w:tr>
      <w:tr w:rsidR="00B9592A" w14:paraId="1BF015BB" w14:textId="77777777" w:rsidTr="00B9592A">
        <w:trPr>
          <w:cantSplit/>
        </w:trPr>
        <w:tc>
          <w:tcPr>
            <w:tcW w:w="1260" w:type="dxa"/>
          </w:tcPr>
          <w:p w14:paraId="1BF015B6" w14:textId="77777777" w:rsidR="00B9592A" w:rsidRPr="001B2EE5" w:rsidRDefault="00B9592A" w:rsidP="00D1477F">
            <w:pPr>
              <w:spacing w:before="60" w:after="40"/>
            </w:pPr>
            <w:r w:rsidRPr="001B2EE5">
              <w:t>Quantity</w:t>
            </w:r>
          </w:p>
        </w:tc>
        <w:tc>
          <w:tcPr>
            <w:tcW w:w="4050" w:type="dxa"/>
          </w:tcPr>
          <w:p w14:paraId="1BF015B7" w14:textId="77777777" w:rsidR="00B9592A" w:rsidRPr="001B2EE5" w:rsidRDefault="00B9592A" w:rsidP="00D1477F">
            <w:pPr>
              <w:spacing w:before="60" w:after="40"/>
            </w:pPr>
            <w:r w:rsidRPr="001B2EE5">
              <w:t>Number of sites where gambling is conducted by 1,150 licensed nonprofit organizations</w:t>
            </w:r>
          </w:p>
        </w:tc>
        <w:tc>
          <w:tcPr>
            <w:tcW w:w="1710" w:type="dxa"/>
          </w:tcPr>
          <w:p w14:paraId="1BF015B8" w14:textId="5FFE4728" w:rsidR="00B9592A" w:rsidRPr="001B2EE5" w:rsidRDefault="00B9592A" w:rsidP="00D1477F">
            <w:pPr>
              <w:spacing w:before="60" w:after="40"/>
            </w:pPr>
            <w:r>
              <w:t>2,8</w:t>
            </w:r>
            <w:r w:rsidR="002B1258">
              <w:t>36</w:t>
            </w:r>
          </w:p>
        </w:tc>
        <w:tc>
          <w:tcPr>
            <w:tcW w:w="1710" w:type="dxa"/>
          </w:tcPr>
          <w:p w14:paraId="1BF015B9" w14:textId="4EFA76E7" w:rsidR="00B9592A" w:rsidRPr="001B2EE5" w:rsidRDefault="00B9592A" w:rsidP="00D1477F">
            <w:pPr>
              <w:spacing w:before="60" w:after="40"/>
            </w:pPr>
            <w:r>
              <w:t>2,</w:t>
            </w:r>
            <w:r w:rsidR="002B1258">
              <w:t>791</w:t>
            </w:r>
          </w:p>
        </w:tc>
      </w:tr>
      <w:tr w:rsidR="00B9592A" w14:paraId="1BF015C1" w14:textId="77777777" w:rsidTr="00B9592A">
        <w:trPr>
          <w:cantSplit/>
        </w:trPr>
        <w:tc>
          <w:tcPr>
            <w:tcW w:w="1260" w:type="dxa"/>
          </w:tcPr>
          <w:p w14:paraId="1BF015BC" w14:textId="77777777" w:rsidR="00B9592A" w:rsidRPr="001B2EE5" w:rsidRDefault="00B9592A" w:rsidP="00D1477F">
            <w:pPr>
              <w:spacing w:before="60" w:after="40"/>
            </w:pPr>
            <w:r w:rsidRPr="001B2EE5">
              <w:t>Quantity</w:t>
            </w:r>
          </w:p>
        </w:tc>
        <w:tc>
          <w:tcPr>
            <w:tcW w:w="4050" w:type="dxa"/>
          </w:tcPr>
          <w:p w14:paraId="1BF015BD" w14:textId="77777777" w:rsidR="00B9592A" w:rsidRPr="001B2EE5" w:rsidRDefault="00B9592A" w:rsidP="00D1477F">
            <w:pPr>
              <w:spacing w:before="60" w:after="40"/>
            </w:pPr>
            <w:r w:rsidRPr="001B2EE5">
              <w:t>Number of sites where electronic games are played</w:t>
            </w:r>
          </w:p>
        </w:tc>
        <w:tc>
          <w:tcPr>
            <w:tcW w:w="1710" w:type="dxa"/>
          </w:tcPr>
          <w:p w14:paraId="1BF015BE" w14:textId="76620187" w:rsidR="00B9592A" w:rsidRPr="001B2EE5" w:rsidRDefault="002B1258" w:rsidP="00D1477F">
            <w:pPr>
              <w:spacing w:before="60" w:after="40"/>
            </w:pPr>
            <w:r>
              <w:t>1,335</w:t>
            </w:r>
          </w:p>
        </w:tc>
        <w:tc>
          <w:tcPr>
            <w:tcW w:w="1710" w:type="dxa"/>
          </w:tcPr>
          <w:p w14:paraId="1BF015BF" w14:textId="692946C0" w:rsidR="00B9592A" w:rsidRPr="001B2EE5" w:rsidRDefault="002B1258" w:rsidP="00D1477F">
            <w:pPr>
              <w:spacing w:before="60" w:after="40"/>
            </w:pPr>
            <w:r>
              <w:t>1,632</w:t>
            </w:r>
          </w:p>
        </w:tc>
      </w:tr>
      <w:tr w:rsidR="00B9592A" w14:paraId="1BF015C7" w14:textId="77777777" w:rsidTr="00B9592A">
        <w:trPr>
          <w:cantSplit/>
        </w:trPr>
        <w:tc>
          <w:tcPr>
            <w:tcW w:w="1260" w:type="dxa"/>
          </w:tcPr>
          <w:p w14:paraId="1BF015C2" w14:textId="77777777" w:rsidR="00B9592A" w:rsidRPr="001B2EE5" w:rsidRDefault="00B9592A" w:rsidP="00D1477F">
            <w:pPr>
              <w:spacing w:before="60" w:after="40"/>
            </w:pPr>
            <w:r w:rsidRPr="001B2EE5">
              <w:t>Quantity</w:t>
            </w:r>
          </w:p>
        </w:tc>
        <w:tc>
          <w:tcPr>
            <w:tcW w:w="4050" w:type="dxa"/>
          </w:tcPr>
          <w:p w14:paraId="1BF015C3" w14:textId="4465D286" w:rsidR="00B9592A" w:rsidRPr="001B2EE5" w:rsidRDefault="00B9592A" w:rsidP="00D1477F">
            <w:pPr>
              <w:spacing w:before="60" w:after="40"/>
            </w:pPr>
            <w:r>
              <w:t xml:space="preserve">Tax exempt permits issued to </w:t>
            </w:r>
            <w:r w:rsidRPr="001B2EE5">
              <w:t>nonprofit organizations that conduct fewer than 5 events with less than $50,000 in prizes during the year</w:t>
            </w:r>
          </w:p>
        </w:tc>
        <w:tc>
          <w:tcPr>
            <w:tcW w:w="1710" w:type="dxa"/>
          </w:tcPr>
          <w:p w14:paraId="1BF015C4" w14:textId="1569F7BB" w:rsidR="00B9592A" w:rsidRPr="001B2EE5" w:rsidRDefault="00B9592A" w:rsidP="00D1477F">
            <w:pPr>
              <w:spacing w:before="60" w:after="40"/>
            </w:pPr>
            <w:r>
              <w:t>4,0</w:t>
            </w:r>
            <w:r w:rsidR="00481D32">
              <w:t>89</w:t>
            </w:r>
          </w:p>
        </w:tc>
        <w:tc>
          <w:tcPr>
            <w:tcW w:w="1710" w:type="dxa"/>
          </w:tcPr>
          <w:p w14:paraId="1BF015C5" w14:textId="35063B7C" w:rsidR="00B9592A" w:rsidRPr="001B2EE5" w:rsidRDefault="00481D32" w:rsidP="00D1477F">
            <w:pPr>
              <w:spacing w:before="60" w:after="40"/>
            </w:pPr>
            <w:r>
              <w:t>3</w:t>
            </w:r>
            <w:r w:rsidR="00B9592A">
              <w:t>,</w:t>
            </w:r>
            <w:r>
              <w:t>756</w:t>
            </w:r>
          </w:p>
        </w:tc>
      </w:tr>
      <w:tr w:rsidR="00B9592A" w14:paraId="1BF015CD" w14:textId="77777777" w:rsidTr="00B9592A">
        <w:trPr>
          <w:cantSplit/>
        </w:trPr>
        <w:tc>
          <w:tcPr>
            <w:tcW w:w="1260" w:type="dxa"/>
          </w:tcPr>
          <w:p w14:paraId="1BF015C8" w14:textId="77777777" w:rsidR="00B9592A" w:rsidRPr="001B2EE5" w:rsidRDefault="00B9592A" w:rsidP="00D1477F">
            <w:pPr>
              <w:spacing w:before="60" w:after="40"/>
            </w:pPr>
            <w:r w:rsidRPr="001B2EE5">
              <w:t>Quantity</w:t>
            </w:r>
          </w:p>
        </w:tc>
        <w:tc>
          <w:tcPr>
            <w:tcW w:w="4050" w:type="dxa"/>
          </w:tcPr>
          <w:p w14:paraId="1BF015C9" w14:textId="77777777" w:rsidR="00B9592A" w:rsidRPr="001B2EE5" w:rsidRDefault="00B9592A" w:rsidP="00D1477F">
            <w:pPr>
              <w:spacing w:before="60" w:after="40"/>
            </w:pPr>
            <w:r w:rsidRPr="001B2EE5">
              <w:t>Gambling products reviewed</w:t>
            </w:r>
          </w:p>
        </w:tc>
        <w:tc>
          <w:tcPr>
            <w:tcW w:w="1710" w:type="dxa"/>
          </w:tcPr>
          <w:p w14:paraId="1BF015CA" w14:textId="18B3683E" w:rsidR="00B9592A" w:rsidRPr="001B2EE5" w:rsidRDefault="00B9592A" w:rsidP="00D1477F">
            <w:pPr>
              <w:spacing w:before="60" w:after="40"/>
            </w:pPr>
            <w:r>
              <w:t>6,</w:t>
            </w:r>
            <w:r w:rsidR="00481D32">
              <w:t>2</w:t>
            </w:r>
            <w:r>
              <w:t>3</w:t>
            </w:r>
            <w:r w:rsidR="00481D32">
              <w:t>5</w:t>
            </w:r>
          </w:p>
        </w:tc>
        <w:tc>
          <w:tcPr>
            <w:tcW w:w="1710" w:type="dxa"/>
          </w:tcPr>
          <w:p w14:paraId="1BF015CB" w14:textId="42435C2C" w:rsidR="00B9592A" w:rsidRPr="001B2EE5" w:rsidRDefault="00481D32" w:rsidP="00D1477F">
            <w:pPr>
              <w:spacing w:before="60" w:after="40"/>
            </w:pPr>
            <w:r>
              <w:t>5</w:t>
            </w:r>
            <w:r w:rsidR="00B9592A">
              <w:t>,5</w:t>
            </w:r>
            <w:r>
              <w:t>93</w:t>
            </w:r>
          </w:p>
        </w:tc>
      </w:tr>
    </w:tbl>
    <w:p w14:paraId="1BF015CE" w14:textId="77777777" w:rsidR="00EE327B" w:rsidRDefault="00D06A61" w:rsidP="003450E3">
      <w:pPr>
        <w:pBdr>
          <w:top w:val="single" w:sz="8" w:space="12" w:color="808080" w:themeColor="background1" w:themeShade="80"/>
        </w:pBdr>
        <w:spacing w:before="480"/>
      </w:pPr>
      <w:r w:rsidRPr="00D06A61">
        <w:t xml:space="preserve">Minnesota Statutes, Chapter 349 </w:t>
      </w:r>
      <w:hyperlink r:id="rId15" w:history="1">
        <w:r w:rsidRPr="00D06A61">
          <w:rPr>
            <w:rStyle w:val="Hyperlink"/>
            <w:rFonts w:ascii="Calibri" w:hAnsi="Calibri"/>
          </w:rPr>
          <w:t>https://www.revisor.mn.gov/statutes/?id=349</w:t>
        </w:r>
      </w:hyperlink>
      <w:r w:rsidRPr="00D06A61">
        <w:t xml:space="preserve"> provides legal authority for the Gambling Control Board.</w:t>
      </w:r>
    </w:p>
    <w:sectPr w:rsidR="00EE327B" w:rsidSect="00894933">
      <w:type w:val="continuous"/>
      <w:pgSz w:w="12240" w:h="15840"/>
      <w:pgMar w:top="72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015D5" w14:textId="77777777" w:rsidR="00A40F2A" w:rsidRDefault="00A40F2A" w:rsidP="0031561B">
      <w:pPr>
        <w:spacing w:after="0"/>
      </w:pPr>
      <w:r>
        <w:separator/>
      </w:r>
    </w:p>
  </w:endnote>
  <w:endnote w:type="continuationSeparator" w:id="0">
    <w:p w14:paraId="1BF015D6" w14:textId="77777777" w:rsidR="00A40F2A" w:rsidRDefault="00A40F2A" w:rsidP="003156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015D3" w14:textId="77777777" w:rsidR="00A40F2A" w:rsidRDefault="00A40F2A" w:rsidP="0031561B">
      <w:pPr>
        <w:spacing w:after="0"/>
      </w:pPr>
      <w:r>
        <w:separator/>
      </w:r>
    </w:p>
  </w:footnote>
  <w:footnote w:type="continuationSeparator" w:id="0">
    <w:p w14:paraId="1BF015D4" w14:textId="77777777" w:rsidR="00A40F2A" w:rsidRDefault="00A40F2A" w:rsidP="003156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D663B9C"/>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4DB6C57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B0E0F5A4"/>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D3D66552"/>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7FCE850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BC0CDF"/>
    <w:multiLevelType w:val="hybridMultilevel"/>
    <w:tmpl w:val="718A257E"/>
    <w:lvl w:ilvl="0" w:tplc="04090001">
      <w:start w:val="1"/>
      <w:numFmt w:val="bullet"/>
      <w:lvlText w:val=""/>
      <w:lvlJc w:val="left"/>
      <w:pPr>
        <w:ind w:left="720" w:hanging="360"/>
      </w:pPr>
      <w:rPr>
        <w:rFonts w:ascii="Symbol" w:hAnsi="Symbol" w:hint="default"/>
      </w:rPr>
    </w:lvl>
    <w:lvl w:ilvl="1" w:tplc="9B743FA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F26EF"/>
    <w:multiLevelType w:val="hybridMultilevel"/>
    <w:tmpl w:val="C38EAFDC"/>
    <w:lvl w:ilvl="0" w:tplc="1220AC2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6C4863"/>
    <w:multiLevelType w:val="hybridMultilevel"/>
    <w:tmpl w:val="79CE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F62205"/>
    <w:multiLevelType w:val="hybridMultilevel"/>
    <w:tmpl w:val="961AF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3612B61"/>
    <w:multiLevelType w:val="hybridMultilevel"/>
    <w:tmpl w:val="B6C8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F2045"/>
    <w:multiLevelType w:val="hybridMultilevel"/>
    <w:tmpl w:val="749AA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4"/>
  </w:num>
  <w:num w:numId="4">
    <w:abstractNumId w:val="3"/>
  </w:num>
  <w:num w:numId="5">
    <w:abstractNumId w:val="2"/>
  </w:num>
  <w:num w:numId="6">
    <w:abstractNumId w:val="1"/>
  </w:num>
  <w:num w:numId="7">
    <w:abstractNumId w:val="0"/>
  </w:num>
  <w:num w:numId="8">
    <w:abstractNumId w:val="5"/>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F2A"/>
    <w:rsid w:val="000017CA"/>
    <w:rsid w:val="00002822"/>
    <w:rsid w:val="000028EF"/>
    <w:rsid w:val="00002DF1"/>
    <w:rsid w:val="00003CED"/>
    <w:rsid w:val="00004105"/>
    <w:rsid w:val="000047C6"/>
    <w:rsid w:val="00004C47"/>
    <w:rsid w:val="00005B81"/>
    <w:rsid w:val="0001051D"/>
    <w:rsid w:val="000133AC"/>
    <w:rsid w:val="00013F8C"/>
    <w:rsid w:val="0001577D"/>
    <w:rsid w:val="000163A9"/>
    <w:rsid w:val="00016C18"/>
    <w:rsid w:val="00016F19"/>
    <w:rsid w:val="0002133F"/>
    <w:rsid w:val="000216BF"/>
    <w:rsid w:val="00022AAD"/>
    <w:rsid w:val="000267BD"/>
    <w:rsid w:val="000271DA"/>
    <w:rsid w:val="00027F5E"/>
    <w:rsid w:val="000300D1"/>
    <w:rsid w:val="00032566"/>
    <w:rsid w:val="00034282"/>
    <w:rsid w:val="000373B7"/>
    <w:rsid w:val="00041390"/>
    <w:rsid w:val="000444B5"/>
    <w:rsid w:val="00045DE0"/>
    <w:rsid w:val="00046BE5"/>
    <w:rsid w:val="00047CAA"/>
    <w:rsid w:val="000536E9"/>
    <w:rsid w:val="00055919"/>
    <w:rsid w:val="000567B5"/>
    <w:rsid w:val="00057A91"/>
    <w:rsid w:val="000604D2"/>
    <w:rsid w:val="00061457"/>
    <w:rsid w:val="00061616"/>
    <w:rsid w:val="00063A71"/>
    <w:rsid w:val="00063EC4"/>
    <w:rsid w:val="0006458F"/>
    <w:rsid w:val="00065230"/>
    <w:rsid w:val="00065F69"/>
    <w:rsid w:val="0007004E"/>
    <w:rsid w:val="00072E8D"/>
    <w:rsid w:val="00074B95"/>
    <w:rsid w:val="00075A24"/>
    <w:rsid w:val="00075F35"/>
    <w:rsid w:val="00076E75"/>
    <w:rsid w:val="00076FE5"/>
    <w:rsid w:val="0007723D"/>
    <w:rsid w:val="00077D08"/>
    <w:rsid w:val="0008158B"/>
    <w:rsid w:val="00081E74"/>
    <w:rsid w:val="00082E23"/>
    <w:rsid w:val="00083EF1"/>
    <w:rsid w:val="00084596"/>
    <w:rsid w:val="00086939"/>
    <w:rsid w:val="000872EA"/>
    <w:rsid w:val="0008730D"/>
    <w:rsid w:val="000877A6"/>
    <w:rsid w:val="00090311"/>
    <w:rsid w:val="00091561"/>
    <w:rsid w:val="00091BDF"/>
    <w:rsid w:val="00091FB8"/>
    <w:rsid w:val="0009293C"/>
    <w:rsid w:val="0009427A"/>
    <w:rsid w:val="00095BA2"/>
    <w:rsid w:val="00097BC2"/>
    <w:rsid w:val="000A10F4"/>
    <w:rsid w:val="000A259A"/>
    <w:rsid w:val="000A3F1F"/>
    <w:rsid w:val="000A7089"/>
    <w:rsid w:val="000B0E02"/>
    <w:rsid w:val="000B1E85"/>
    <w:rsid w:val="000B23BD"/>
    <w:rsid w:val="000B364A"/>
    <w:rsid w:val="000B3924"/>
    <w:rsid w:val="000B582E"/>
    <w:rsid w:val="000B6403"/>
    <w:rsid w:val="000B73E2"/>
    <w:rsid w:val="000B7C7D"/>
    <w:rsid w:val="000C053E"/>
    <w:rsid w:val="000C0A84"/>
    <w:rsid w:val="000C1044"/>
    <w:rsid w:val="000C34A9"/>
    <w:rsid w:val="000D024F"/>
    <w:rsid w:val="000D14E2"/>
    <w:rsid w:val="000D16C9"/>
    <w:rsid w:val="000D2460"/>
    <w:rsid w:val="000D5407"/>
    <w:rsid w:val="000D6541"/>
    <w:rsid w:val="000E05EF"/>
    <w:rsid w:val="000E3242"/>
    <w:rsid w:val="000E36FA"/>
    <w:rsid w:val="000E4055"/>
    <w:rsid w:val="000E40CD"/>
    <w:rsid w:val="000E40FE"/>
    <w:rsid w:val="000E4B27"/>
    <w:rsid w:val="000E64F4"/>
    <w:rsid w:val="000E66E2"/>
    <w:rsid w:val="000E6F86"/>
    <w:rsid w:val="000F1108"/>
    <w:rsid w:val="000F1804"/>
    <w:rsid w:val="000F1E96"/>
    <w:rsid w:val="000F232A"/>
    <w:rsid w:val="000F3E52"/>
    <w:rsid w:val="000F4538"/>
    <w:rsid w:val="000F5B18"/>
    <w:rsid w:val="000F5F6D"/>
    <w:rsid w:val="000F6ABA"/>
    <w:rsid w:val="000F7F79"/>
    <w:rsid w:val="00100A85"/>
    <w:rsid w:val="00100B0D"/>
    <w:rsid w:val="0010285B"/>
    <w:rsid w:val="001029F8"/>
    <w:rsid w:val="00102C5A"/>
    <w:rsid w:val="001032DA"/>
    <w:rsid w:val="00103D2B"/>
    <w:rsid w:val="00105046"/>
    <w:rsid w:val="0010535E"/>
    <w:rsid w:val="00107C9D"/>
    <w:rsid w:val="00110D61"/>
    <w:rsid w:val="00111648"/>
    <w:rsid w:val="00112D96"/>
    <w:rsid w:val="001133A4"/>
    <w:rsid w:val="00116CCC"/>
    <w:rsid w:val="00116D2D"/>
    <w:rsid w:val="00120B39"/>
    <w:rsid w:val="00121E03"/>
    <w:rsid w:val="001223BB"/>
    <w:rsid w:val="00122801"/>
    <w:rsid w:val="00122FC6"/>
    <w:rsid w:val="00124A58"/>
    <w:rsid w:val="00131058"/>
    <w:rsid w:val="0013141A"/>
    <w:rsid w:val="001314B5"/>
    <w:rsid w:val="00132C82"/>
    <w:rsid w:val="00136359"/>
    <w:rsid w:val="0013684B"/>
    <w:rsid w:val="00140537"/>
    <w:rsid w:val="00140B6B"/>
    <w:rsid w:val="00142DFB"/>
    <w:rsid w:val="00142F01"/>
    <w:rsid w:val="00147151"/>
    <w:rsid w:val="00147327"/>
    <w:rsid w:val="00147E29"/>
    <w:rsid w:val="001515D7"/>
    <w:rsid w:val="00151BB0"/>
    <w:rsid w:val="0015201C"/>
    <w:rsid w:val="001527A4"/>
    <w:rsid w:val="0015430F"/>
    <w:rsid w:val="00155F67"/>
    <w:rsid w:val="00156252"/>
    <w:rsid w:val="00156CAC"/>
    <w:rsid w:val="00160446"/>
    <w:rsid w:val="001607F4"/>
    <w:rsid w:val="00162AC1"/>
    <w:rsid w:val="00162DC8"/>
    <w:rsid w:val="0016367E"/>
    <w:rsid w:val="0016514C"/>
    <w:rsid w:val="001658DC"/>
    <w:rsid w:val="00166187"/>
    <w:rsid w:val="001662AE"/>
    <w:rsid w:val="00167C59"/>
    <w:rsid w:val="00167DA7"/>
    <w:rsid w:val="00171F87"/>
    <w:rsid w:val="00172DA3"/>
    <w:rsid w:val="00173B46"/>
    <w:rsid w:val="00173BA7"/>
    <w:rsid w:val="001740C7"/>
    <w:rsid w:val="00176FD7"/>
    <w:rsid w:val="001775F6"/>
    <w:rsid w:val="001815F7"/>
    <w:rsid w:val="00183586"/>
    <w:rsid w:val="00184826"/>
    <w:rsid w:val="00185156"/>
    <w:rsid w:val="00186235"/>
    <w:rsid w:val="001909D8"/>
    <w:rsid w:val="001915A4"/>
    <w:rsid w:val="00191776"/>
    <w:rsid w:val="00192506"/>
    <w:rsid w:val="0019287E"/>
    <w:rsid w:val="00193629"/>
    <w:rsid w:val="001954FF"/>
    <w:rsid w:val="001961C6"/>
    <w:rsid w:val="001A1250"/>
    <w:rsid w:val="001A2D97"/>
    <w:rsid w:val="001A3D36"/>
    <w:rsid w:val="001A4678"/>
    <w:rsid w:val="001A4BED"/>
    <w:rsid w:val="001A5169"/>
    <w:rsid w:val="001A59B5"/>
    <w:rsid w:val="001A7261"/>
    <w:rsid w:val="001A7DB7"/>
    <w:rsid w:val="001B0B5D"/>
    <w:rsid w:val="001B1120"/>
    <w:rsid w:val="001B2F07"/>
    <w:rsid w:val="001B33F2"/>
    <w:rsid w:val="001B55A5"/>
    <w:rsid w:val="001B573A"/>
    <w:rsid w:val="001B6CED"/>
    <w:rsid w:val="001B7B0C"/>
    <w:rsid w:val="001C0429"/>
    <w:rsid w:val="001C3303"/>
    <w:rsid w:val="001C3F60"/>
    <w:rsid w:val="001C3F9B"/>
    <w:rsid w:val="001C4EAF"/>
    <w:rsid w:val="001C6305"/>
    <w:rsid w:val="001C6C39"/>
    <w:rsid w:val="001C70D3"/>
    <w:rsid w:val="001D0145"/>
    <w:rsid w:val="001D1F85"/>
    <w:rsid w:val="001D3134"/>
    <w:rsid w:val="001D354B"/>
    <w:rsid w:val="001D3A57"/>
    <w:rsid w:val="001D4ECB"/>
    <w:rsid w:val="001D7922"/>
    <w:rsid w:val="001D7946"/>
    <w:rsid w:val="001E3016"/>
    <w:rsid w:val="001E4C39"/>
    <w:rsid w:val="001E6D99"/>
    <w:rsid w:val="001F20DC"/>
    <w:rsid w:val="001F21F6"/>
    <w:rsid w:val="001F2945"/>
    <w:rsid w:val="001F2B6B"/>
    <w:rsid w:val="001F37C8"/>
    <w:rsid w:val="001F3995"/>
    <w:rsid w:val="001F50F4"/>
    <w:rsid w:val="001F752C"/>
    <w:rsid w:val="00200BFE"/>
    <w:rsid w:val="00202FB2"/>
    <w:rsid w:val="00203AE8"/>
    <w:rsid w:val="002055BE"/>
    <w:rsid w:val="002106D8"/>
    <w:rsid w:val="002116A2"/>
    <w:rsid w:val="00213796"/>
    <w:rsid w:val="002152EC"/>
    <w:rsid w:val="002161AD"/>
    <w:rsid w:val="00220747"/>
    <w:rsid w:val="00221169"/>
    <w:rsid w:val="00223307"/>
    <w:rsid w:val="00224722"/>
    <w:rsid w:val="00224A21"/>
    <w:rsid w:val="00224DD4"/>
    <w:rsid w:val="002265B2"/>
    <w:rsid w:val="00227027"/>
    <w:rsid w:val="002274D1"/>
    <w:rsid w:val="0022792F"/>
    <w:rsid w:val="0022798A"/>
    <w:rsid w:val="00227B37"/>
    <w:rsid w:val="002303E6"/>
    <w:rsid w:val="00232675"/>
    <w:rsid w:val="002334DE"/>
    <w:rsid w:val="0023543F"/>
    <w:rsid w:val="002360FF"/>
    <w:rsid w:val="002363FA"/>
    <w:rsid w:val="00237709"/>
    <w:rsid w:val="00240B00"/>
    <w:rsid w:val="00240F9C"/>
    <w:rsid w:val="00241BCF"/>
    <w:rsid w:val="00246516"/>
    <w:rsid w:val="002465E7"/>
    <w:rsid w:val="00246736"/>
    <w:rsid w:val="00247851"/>
    <w:rsid w:val="00251328"/>
    <w:rsid w:val="002515D8"/>
    <w:rsid w:val="00252004"/>
    <w:rsid w:val="00253415"/>
    <w:rsid w:val="00256F56"/>
    <w:rsid w:val="00257DD1"/>
    <w:rsid w:val="0026190E"/>
    <w:rsid w:val="0026253A"/>
    <w:rsid w:val="00266CEB"/>
    <w:rsid w:val="00266EB1"/>
    <w:rsid w:val="00267548"/>
    <w:rsid w:val="002703B4"/>
    <w:rsid w:val="00270A82"/>
    <w:rsid w:val="00271107"/>
    <w:rsid w:val="00271432"/>
    <w:rsid w:val="00271796"/>
    <w:rsid w:val="00271850"/>
    <w:rsid w:val="0027452D"/>
    <w:rsid w:val="002749FE"/>
    <w:rsid w:val="00274F79"/>
    <w:rsid w:val="00277EB0"/>
    <w:rsid w:val="00281D79"/>
    <w:rsid w:val="00282861"/>
    <w:rsid w:val="002852CA"/>
    <w:rsid w:val="002876FC"/>
    <w:rsid w:val="00290227"/>
    <w:rsid w:val="002918CF"/>
    <w:rsid w:val="0029277B"/>
    <w:rsid w:val="00292A37"/>
    <w:rsid w:val="0029444E"/>
    <w:rsid w:val="00295531"/>
    <w:rsid w:val="002960BB"/>
    <w:rsid w:val="0029612A"/>
    <w:rsid w:val="002961C2"/>
    <w:rsid w:val="00296424"/>
    <w:rsid w:val="00296D87"/>
    <w:rsid w:val="002A0B23"/>
    <w:rsid w:val="002A24D0"/>
    <w:rsid w:val="002A5315"/>
    <w:rsid w:val="002A64EB"/>
    <w:rsid w:val="002B1258"/>
    <w:rsid w:val="002B17E8"/>
    <w:rsid w:val="002B19D1"/>
    <w:rsid w:val="002B52EB"/>
    <w:rsid w:val="002B60B1"/>
    <w:rsid w:val="002B6C7B"/>
    <w:rsid w:val="002B744E"/>
    <w:rsid w:val="002B7726"/>
    <w:rsid w:val="002B7789"/>
    <w:rsid w:val="002C057C"/>
    <w:rsid w:val="002C147D"/>
    <w:rsid w:val="002C40B1"/>
    <w:rsid w:val="002C533D"/>
    <w:rsid w:val="002C6957"/>
    <w:rsid w:val="002D5A89"/>
    <w:rsid w:val="002D5D3A"/>
    <w:rsid w:val="002D7A22"/>
    <w:rsid w:val="002E1209"/>
    <w:rsid w:val="002E1BC9"/>
    <w:rsid w:val="002E4CBE"/>
    <w:rsid w:val="002E660D"/>
    <w:rsid w:val="002E7D48"/>
    <w:rsid w:val="002F0052"/>
    <w:rsid w:val="002F41FD"/>
    <w:rsid w:val="002F458D"/>
    <w:rsid w:val="002F4A63"/>
    <w:rsid w:val="002F4CA5"/>
    <w:rsid w:val="002F4FDB"/>
    <w:rsid w:val="002F51BD"/>
    <w:rsid w:val="002F53CD"/>
    <w:rsid w:val="002F5625"/>
    <w:rsid w:val="002F71F1"/>
    <w:rsid w:val="002F7A2B"/>
    <w:rsid w:val="00300872"/>
    <w:rsid w:val="00302323"/>
    <w:rsid w:val="00304CAF"/>
    <w:rsid w:val="0030593A"/>
    <w:rsid w:val="00306EE3"/>
    <w:rsid w:val="00307B9E"/>
    <w:rsid w:val="003122E9"/>
    <w:rsid w:val="0031314D"/>
    <w:rsid w:val="003146E1"/>
    <w:rsid w:val="0031561B"/>
    <w:rsid w:val="00315F11"/>
    <w:rsid w:val="00316D2E"/>
    <w:rsid w:val="003175DE"/>
    <w:rsid w:val="003208F1"/>
    <w:rsid w:val="00322A85"/>
    <w:rsid w:val="003238B2"/>
    <w:rsid w:val="0032424F"/>
    <w:rsid w:val="00324B33"/>
    <w:rsid w:val="00330835"/>
    <w:rsid w:val="0033204B"/>
    <w:rsid w:val="00332FAF"/>
    <w:rsid w:val="00333334"/>
    <w:rsid w:val="00334D9A"/>
    <w:rsid w:val="003356F2"/>
    <w:rsid w:val="00335AFE"/>
    <w:rsid w:val="003365E6"/>
    <w:rsid w:val="00336CB7"/>
    <w:rsid w:val="003407FA"/>
    <w:rsid w:val="00342581"/>
    <w:rsid w:val="00344281"/>
    <w:rsid w:val="00344718"/>
    <w:rsid w:val="003450E3"/>
    <w:rsid w:val="00345E98"/>
    <w:rsid w:val="003476DD"/>
    <w:rsid w:val="003513E5"/>
    <w:rsid w:val="00351E51"/>
    <w:rsid w:val="003529D4"/>
    <w:rsid w:val="003531C3"/>
    <w:rsid w:val="00354CE5"/>
    <w:rsid w:val="00356836"/>
    <w:rsid w:val="00356E35"/>
    <w:rsid w:val="003578FA"/>
    <w:rsid w:val="003603F8"/>
    <w:rsid w:val="0036515B"/>
    <w:rsid w:val="00366133"/>
    <w:rsid w:val="00367053"/>
    <w:rsid w:val="00367073"/>
    <w:rsid w:val="00371BBB"/>
    <w:rsid w:val="003723A3"/>
    <w:rsid w:val="0037244A"/>
    <w:rsid w:val="00373B60"/>
    <w:rsid w:val="00374D77"/>
    <w:rsid w:val="00375256"/>
    <w:rsid w:val="00376F53"/>
    <w:rsid w:val="003779EA"/>
    <w:rsid w:val="00382942"/>
    <w:rsid w:val="003837C5"/>
    <w:rsid w:val="003845B1"/>
    <w:rsid w:val="00384D14"/>
    <w:rsid w:val="00386316"/>
    <w:rsid w:val="00390ED2"/>
    <w:rsid w:val="00391DF0"/>
    <w:rsid w:val="0039249D"/>
    <w:rsid w:val="003925EC"/>
    <w:rsid w:val="003945E0"/>
    <w:rsid w:val="00394CA1"/>
    <w:rsid w:val="0039523F"/>
    <w:rsid w:val="00395B23"/>
    <w:rsid w:val="00396DE0"/>
    <w:rsid w:val="00396F42"/>
    <w:rsid w:val="00397144"/>
    <w:rsid w:val="003974A2"/>
    <w:rsid w:val="00397A43"/>
    <w:rsid w:val="003A0F5A"/>
    <w:rsid w:val="003A4978"/>
    <w:rsid w:val="003A4C80"/>
    <w:rsid w:val="003A70B8"/>
    <w:rsid w:val="003A7671"/>
    <w:rsid w:val="003B0703"/>
    <w:rsid w:val="003B08CC"/>
    <w:rsid w:val="003B0F2A"/>
    <w:rsid w:val="003B3369"/>
    <w:rsid w:val="003B48F1"/>
    <w:rsid w:val="003B69A7"/>
    <w:rsid w:val="003B7648"/>
    <w:rsid w:val="003B7AE6"/>
    <w:rsid w:val="003C260D"/>
    <w:rsid w:val="003C3BE4"/>
    <w:rsid w:val="003C5382"/>
    <w:rsid w:val="003C6656"/>
    <w:rsid w:val="003D0962"/>
    <w:rsid w:val="003D4BB1"/>
    <w:rsid w:val="003D4C7F"/>
    <w:rsid w:val="003D56BC"/>
    <w:rsid w:val="003D694A"/>
    <w:rsid w:val="003E0C37"/>
    <w:rsid w:val="003E1960"/>
    <w:rsid w:val="003E40F7"/>
    <w:rsid w:val="003E45BB"/>
    <w:rsid w:val="003E4629"/>
    <w:rsid w:val="003E52BB"/>
    <w:rsid w:val="003E58C9"/>
    <w:rsid w:val="003E64A6"/>
    <w:rsid w:val="003E65BE"/>
    <w:rsid w:val="003E6A63"/>
    <w:rsid w:val="003E6B1D"/>
    <w:rsid w:val="003E7CDA"/>
    <w:rsid w:val="003F1644"/>
    <w:rsid w:val="003F21EA"/>
    <w:rsid w:val="003F4D4D"/>
    <w:rsid w:val="003F71E7"/>
    <w:rsid w:val="0040059E"/>
    <w:rsid w:val="004047E1"/>
    <w:rsid w:val="00404B30"/>
    <w:rsid w:val="00406004"/>
    <w:rsid w:val="00406ACD"/>
    <w:rsid w:val="0040767B"/>
    <w:rsid w:val="00407BFC"/>
    <w:rsid w:val="004106A2"/>
    <w:rsid w:val="00411079"/>
    <w:rsid w:val="00412590"/>
    <w:rsid w:val="00415C71"/>
    <w:rsid w:val="00416E62"/>
    <w:rsid w:val="0041793B"/>
    <w:rsid w:val="00421464"/>
    <w:rsid w:val="00421C87"/>
    <w:rsid w:val="0042330E"/>
    <w:rsid w:val="00424ABF"/>
    <w:rsid w:val="00424D15"/>
    <w:rsid w:val="00425311"/>
    <w:rsid w:val="00426203"/>
    <w:rsid w:val="004264BB"/>
    <w:rsid w:val="00430A3F"/>
    <w:rsid w:val="00430F64"/>
    <w:rsid w:val="00432CBB"/>
    <w:rsid w:val="00433F65"/>
    <w:rsid w:val="00434E57"/>
    <w:rsid w:val="0043527C"/>
    <w:rsid w:val="0044055F"/>
    <w:rsid w:val="00441639"/>
    <w:rsid w:val="00442D5A"/>
    <w:rsid w:val="00442E99"/>
    <w:rsid w:val="00444FAE"/>
    <w:rsid w:val="00445FA2"/>
    <w:rsid w:val="00446F59"/>
    <w:rsid w:val="00447021"/>
    <w:rsid w:val="004479D8"/>
    <w:rsid w:val="00453BFC"/>
    <w:rsid w:val="00453D3B"/>
    <w:rsid w:val="00454424"/>
    <w:rsid w:val="004564C3"/>
    <w:rsid w:val="004566BD"/>
    <w:rsid w:val="00456869"/>
    <w:rsid w:val="004576F0"/>
    <w:rsid w:val="004629E7"/>
    <w:rsid w:val="00463EEF"/>
    <w:rsid w:val="00463FB6"/>
    <w:rsid w:val="00465E0A"/>
    <w:rsid w:val="00466130"/>
    <w:rsid w:val="00466F0D"/>
    <w:rsid w:val="004675D9"/>
    <w:rsid w:val="0047020F"/>
    <w:rsid w:val="00470D81"/>
    <w:rsid w:val="0047117D"/>
    <w:rsid w:val="004718E9"/>
    <w:rsid w:val="0047483F"/>
    <w:rsid w:val="00474920"/>
    <w:rsid w:val="00474CEE"/>
    <w:rsid w:val="00476580"/>
    <w:rsid w:val="00476654"/>
    <w:rsid w:val="0047683D"/>
    <w:rsid w:val="00477406"/>
    <w:rsid w:val="00480231"/>
    <w:rsid w:val="00481D32"/>
    <w:rsid w:val="00481D52"/>
    <w:rsid w:val="00482A35"/>
    <w:rsid w:val="00483228"/>
    <w:rsid w:val="004840DF"/>
    <w:rsid w:val="004848AF"/>
    <w:rsid w:val="00484C2B"/>
    <w:rsid w:val="00484E07"/>
    <w:rsid w:val="0048513E"/>
    <w:rsid w:val="0048543E"/>
    <w:rsid w:val="00485CDE"/>
    <w:rsid w:val="0049005C"/>
    <w:rsid w:val="00490451"/>
    <w:rsid w:val="00490519"/>
    <w:rsid w:val="0049115B"/>
    <w:rsid w:val="00491605"/>
    <w:rsid w:val="00491D1C"/>
    <w:rsid w:val="00492B34"/>
    <w:rsid w:val="00494394"/>
    <w:rsid w:val="00495D9B"/>
    <w:rsid w:val="004975D9"/>
    <w:rsid w:val="00497B3D"/>
    <w:rsid w:val="004A1BDE"/>
    <w:rsid w:val="004A24F5"/>
    <w:rsid w:val="004A51B6"/>
    <w:rsid w:val="004A5202"/>
    <w:rsid w:val="004A5A4C"/>
    <w:rsid w:val="004A5BAD"/>
    <w:rsid w:val="004A5C71"/>
    <w:rsid w:val="004A6F43"/>
    <w:rsid w:val="004B0F45"/>
    <w:rsid w:val="004B37DA"/>
    <w:rsid w:val="004B3B8B"/>
    <w:rsid w:val="004B43CE"/>
    <w:rsid w:val="004B5DA5"/>
    <w:rsid w:val="004C0E58"/>
    <w:rsid w:val="004D1F78"/>
    <w:rsid w:val="004D304B"/>
    <w:rsid w:val="004D3C68"/>
    <w:rsid w:val="004D4096"/>
    <w:rsid w:val="004D7D17"/>
    <w:rsid w:val="004E122D"/>
    <w:rsid w:val="004E161E"/>
    <w:rsid w:val="004E208E"/>
    <w:rsid w:val="004E41BE"/>
    <w:rsid w:val="004E47B8"/>
    <w:rsid w:val="004E485B"/>
    <w:rsid w:val="004E4F0F"/>
    <w:rsid w:val="004F0822"/>
    <w:rsid w:val="004F0F21"/>
    <w:rsid w:val="004F1E22"/>
    <w:rsid w:val="004F269D"/>
    <w:rsid w:val="004F3497"/>
    <w:rsid w:val="004F6979"/>
    <w:rsid w:val="004F6C80"/>
    <w:rsid w:val="004F6E53"/>
    <w:rsid w:val="004F6E61"/>
    <w:rsid w:val="004F6F51"/>
    <w:rsid w:val="004F7DA3"/>
    <w:rsid w:val="004F7FEC"/>
    <w:rsid w:val="00502408"/>
    <w:rsid w:val="00503092"/>
    <w:rsid w:val="00504A9A"/>
    <w:rsid w:val="00507AE8"/>
    <w:rsid w:val="00512333"/>
    <w:rsid w:val="00513DAD"/>
    <w:rsid w:val="0051581D"/>
    <w:rsid w:val="00515FF1"/>
    <w:rsid w:val="0051750D"/>
    <w:rsid w:val="0052224B"/>
    <w:rsid w:val="00523634"/>
    <w:rsid w:val="005252F5"/>
    <w:rsid w:val="00525AA6"/>
    <w:rsid w:val="00525C1F"/>
    <w:rsid w:val="0052761E"/>
    <w:rsid w:val="005307F1"/>
    <w:rsid w:val="00530F3A"/>
    <w:rsid w:val="005315F1"/>
    <w:rsid w:val="00531954"/>
    <w:rsid w:val="005335CB"/>
    <w:rsid w:val="005341B8"/>
    <w:rsid w:val="005345E3"/>
    <w:rsid w:val="005361B9"/>
    <w:rsid w:val="0053787F"/>
    <w:rsid w:val="0054137B"/>
    <w:rsid w:val="0054160C"/>
    <w:rsid w:val="00542B1A"/>
    <w:rsid w:val="0054426A"/>
    <w:rsid w:val="00545050"/>
    <w:rsid w:val="0054580D"/>
    <w:rsid w:val="0055100E"/>
    <w:rsid w:val="005519A2"/>
    <w:rsid w:val="00554353"/>
    <w:rsid w:val="00556B80"/>
    <w:rsid w:val="00560F7D"/>
    <w:rsid w:val="00561138"/>
    <w:rsid w:val="0056143C"/>
    <w:rsid w:val="005615AD"/>
    <w:rsid w:val="0056296E"/>
    <w:rsid w:val="00563482"/>
    <w:rsid w:val="0056410C"/>
    <w:rsid w:val="0056476D"/>
    <w:rsid w:val="005655B9"/>
    <w:rsid w:val="00565AD1"/>
    <w:rsid w:val="00565FDA"/>
    <w:rsid w:val="0056640C"/>
    <w:rsid w:val="0056714B"/>
    <w:rsid w:val="00567569"/>
    <w:rsid w:val="00567CE9"/>
    <w:rsid w:val="005709ED"/>
    <w:rsid w:val="00570A80"/>
    <w:rsid w:val="00570E69"/>
    <w:rsid w:val="00571D24"/>
    <w:rsid w:val="005729E7"/>
    <w:rsid w:val="005739C0"/>
    <w:rsid w:val="00573DCF"/>
    <w:rsid w:val="005743CC"/>
    <w:rsid w:val="005765B3"/>
    <w:rsid w:val="00576CD7"/>
    <w:rsid w:val="005774C3"/>
    <w:rsid w:val="0058077A"/>
    <w:rsid w:val="00581088"/>
    <w:rsid w:val="00581C01"/>
    <w:rsid w:val="00582679"/>
    <w:rsid w:val="00582787"/>
    <w:rsid w:val="00584DE8"/>
    <w:rsid w:val="005858A2"/>
    <w:rsid w:val="00587BEA"/>
    <w:rsid w:val="00590795"/>
    <w:rsid w:val="005927A7"/>
    <w:rsid w:val="00593906"/>
    <w:rsid w:val="00594502"/>
    <w:rsid w:val="00594D0C"/>
    <w:rsid w:val="005957FA"/>
    <w:rsid w:val="00597B0B"/>
    <w:rsid w:val="005A1203"/>
    <w:rsid w:val="005A2675"/>
    <w:rsid w:val="005A31BA"/>
    <w:rsid w:val="005A35CB"/>
    <w:rsid w:val="005A3E2C"/>
    <w:rsid w:val="005A42AE"/>
    <w:rsid w:val="005A59FB"/>
    <w:rsid w:val="005A5D1E"/>
    <w:rsid w:val="005A5E77"/>
    <w:rsid w:val="005B0666"/>
    <w:rsid w:val="005B41D0"/>
    <w:rsid w:val="005B483F"/>
    <w:rsid w:val="005B5B9D"/>
    <w:rsid w:val="005B5F2E"/>
    <w:rsid w:val="005B5F58"/>
    <w:rsid w:val="005B6D52"/>
    <w:rsid w:val="005C08F3"/>
    <w:rsid w:val="005C3B98"/>
    <w:rsid w:val="005C7F37"/>
    <w:rsid w:val="005D1472"/>
    <w:rsid w:val="005D3DF9"/>
    <w:rsid w:val="005D458F"/>
    <w:rsid w:val="005D52D6"/>
    <w:rsid w:val="005D5F60"/>
    <w:rsid w:val="005D6B29"/>
    <w:rsid w:val="005E0915"/>
    <w:rsid w:val="005E0E41"/>
    <w:rsid w:val="005E239D"/>
    <w:rsid w:val="005E319B"/>
    <w:rsid w:val="005E3B35"/>
    <w:rsid w:val="005E549A"/>
    <w:rsid w:val="005E5D41"/>
    <w:rsid w:val="005E6E5C"/>
    <w:rsid w:val="005E702C"/>
    <w:rsid w:val="005F0899"/>
    <w:rsid w:val="005F150F"/>
    <w:rsid w:val="005F2E80"/>
    <w:rsid w:val="005F451E"/>
    <w:rsid w:val="005F618B"/>
    <w:rsid w:val="005F6A55"/>
    <w:rsid w:val="005F6BFA"/>
    <w:rsid w:val="0060085E"/>
    <w:rsid w:val="00600EF9"/>
    <w:rsid w:val="00602F8F"/>
    <w:rsid w:val="00603C71"/>
    <w:rsid w:val="00604AD3"/>
    <w:rsid w:val="00604DC0"/>
    <w:rsid w:val="00604E00"/>
    <w:rsid w:val="006064D1"/>
    <w:rsid w:val="00607674"/>
    <w:rsid w:val="00607F88"/>
    <w:rsid w:val="006106EA"/>
    <w:rsid w:val="0061140D"/>
    <w:rsid w:val="00611FD8"/>
    <w:rsid w:val="00612792"/>
    <w:rsid w:val="00612CE8"/>
    <w:rsid w:val="00613FD5"/>
    <w:rsid w:val="00615775"/>
    <w:rsid w:val="00615939"/>
    <w:rsid w:val="00615AB1"/>
    <w:rsid w:val="006169A8"/>
    <w:rsid w:val="00617980"/>
    <w:rsid w:val="006204AD"/>
    <w:rsid w:val="006219EC"/>
    <w:rsid w:val="00621F08"/>
    <w:rsid w:val="006259F9"/>
    <w:rsid w:val="00626160"/>
    <w:rsid w:val="00626732"/>
    <w:rsid w:val="006301AC"/>
    <w:rsid w:val="00632198"/>
    <w:rsid w:val="00633705"/>
    <w:rsid w:val="006346CD"/>
    <w:rsid w:val="0064112C"/>
    <w:rsid w:val="00641B08"/>
    <w:rsid w:val="006422C9"/>
    <w:rsid w:val="00642C86"/>
    <w:rsid w:val="00643199"/>
    <w:rsid w:val="006435F5"/>
    <w:rsid w:val="0064568A"/>
    <w:rsid w:val="00645835"/>
    <w:rsid w:val="006464D8"/>
    <w:rsid w:val="00646525"/>
    <w:rsid w:val="00650903"/>
    <w:rsid w:val="00653F74"/>
    <w:rsid w:val="006547A9"/>
    <w:rsid w:val="00654855"/>
    <w:rsid w:val="0065653B"/>
    <w:rsid w:val="00656B48"/>
    <w:rsid w:val="00660C7B"/>
    <w:rsid w:val="0066181E"/>
    <w:rsid w:val="006619C9"/>
    <w:rsid w:val="0066310A"/>
    <w:rsid w:val="00663A4B"/>
    <w:rsid w:val="00664403"/>
    <w:rsid w:val="0066508D"/>
    <w:rsid w:val="00665135"/>
    <w:rsid w:val="0066532F"/>
    <w:rsid w:val="00666874"/>
    <w:rsid w:val="00671CE6"/>
    <w:rsid w:val="006723C3"/>
    <w:rsid w:val="00673FB4"/>
    <w:rsid w:val="00675447"/>
    <w:rsid w:val="00677048"/>
    <w:rsid w:val="00677BA9"/>
    <w:rsid w:val="006801F6"/>
    <w:rsid w:val="00682A9A"/>
    <w:rsid w:val="006830BD"/>
    <w:rsid w:val="00683C89"/>
    <w:rsid w:val="00683CCF"/>
    <w:rsid w:val="00684285"/>
    <w:rsid w:val="006846A0"/>
    <w:rsid w:val="006849EF"/>
    <w:rsid w:val="006860F2"/>
    <w:rsid w:val="0068679A"/>
    <w:rsid w:val="006870BF"/>
    <w:rsid w:val="006927A3"/>
    <w:rsid w:val="00692EE4"/>
    <w:rsid w:val="00696E8E"/>
    <w:rsid w:val="006A045D"/>
    <w:rsid w:val="006A2351"/>
    <w:rsid w:val="006A5FB1"/>
    <w:rsid w:val="006A67FE"/>
    <w:rsid w:val="006B030D"/>
    <w:rsid w:val="006B0E92"/>
    <w:rsid w:val="006B26A8"/>
    <w:rsid w:val="006B2B7D"/>
    <w:rsid w:val="006B2BDE"/>
    <w:rsid w:val="006B4F48"/>
    <w:rsid w:val="006B51F8"/>
    <w:rsid w:val="006B646E"/>
    <w:rsid w:val="006B6541"/>
    <w:rsid w:val="006B7E41"/>
    <w:rsid w:val="006B7EB4"/>
    <w:rsid w:val="006C20BC"/>
    <w:rsid w:val="006C45E6"/>
    <w:rsid w:val="006C4937"/>
    <w:rsid w:val="006C78C1"/>
    <w:rsid w:val="006C7C21"/>
    <w:rsid w:val="006D041F"/>
    <w:rsid w:val="006D18CD"/>
    <w:rsid w:val="006D2D33"/>
    <w:rsid w:val="006D3446"/>
    <w:rsid w:val="006D5F70"/>
    <w:rsid w:val="006D6D17"/>
    <w:rsid w:val="006E1C3C"/>
    <w:rsid w:val="006E20C0"/>
    <w:rsid w:val="006E2DA2"/>
    <w:rsid w:val="006E444F"/>
    <w:rsid w:val="006E5443"/>
    <w:rsid w:val="006E74DB"/>
    <w:rsid w:val="006E7AD9"/>
    <w:rsid w:val="006F1038"/>
    <w:rsid w:val="006F148F"/>
    <w:rsid w:val="006F2259"/>
    <w:rsid w:val="006F251A"/>
    <w:rsid w:val="006F26A1"/>
    <w:rsid w:val="006F3C34"/>
    <w:rsid w:val="006F4271"/>
    <w:rsid w:val="006F56A9"/>
    <w:rsid w:val="006F6335"/>
    <w:rsid w:val="00700DA5"/>
    <w:rsid w:val="007014A0"/>
    <w:rsid w:val="00704340"/>
    <w:rsid w:val="007044D2"/>
    <w:rsid w:val="0070594A"/>
    <w:rsid w:val="00705B23"/>
    <w:rsid w:val="007070E9"/>
    <w:rsid w:val="00710DB8"/>
    <w:rsid w:val="00712047"/>
    <w:rsid w:val="00713883"/>
    <w:rsid w:val="00715405"/>
    <w:rsid w:val="00720A10"/>
    <w:rsid w:val="007220F2"/>
    <w:rsid w:val="00723A73"/>
    <w:rsid w:val="00724238"/>
    <w:rsid w:val="0072445E"/>
    <w:rsid w:val="00725E15"/>
    <w:rsid w:val="00725F17"/>
    <w:rsid w:val="007268E9"/>
    <w:rsid w:val="007274AF"/>
    <w:rsid w:val="00731909"/>
    <w:rsid w:val="00731D50"/>
    <w:rsid w:val="007320BD"/>
    <w:rsid w:val="00733D2C"/>
    <w:rsid w:val="00734256"/>
    <w:rsid w:val="007370FB"/>
    <w:rsid w:val="007403D0"/>
    <w:rsid w:val="00741F62"/>
    <w:rsid w:val="0074241F"/>
    <w:rsid w:val="00743E9F"/>
    <w:rsid w:val="00744708"/>
    <w:rsid w:val="0074546A"/>
    <w:rsid w:val="00745F77"/>
    <w:rsid w:val="007466DC"/>
    <w:rsid w:val="007503B7"/>
    <w:rsid w:val="00750E68"/>
    <w:rsid w:val="00752047"/>
    <w:rsid w:val="00755908"/>
    <w:rsid w:val="0075629B"/>
    <w:rsid w:val="007564B3"/>
    <w:rsid w:val="00756EF0"/>
    <w:rsid w:val="0075795F"/>
    <w:rsid w:val="00760798"/>
    <w:rsid w:val="00762306"/>
    <w:rsid w:val="00763640"/>
    <w:rsid w:val="00764289"/>
    <w:rsid w:val="00764A34"/>
    <w:rsid w:val="007658B1"/>
    <w:rsid w:val="007668F8"/>
    <w:rsid w:val="00767365"/>
    <w:rsid w:val="007700F8"/>
    <w:rsid w:val="007728A5"/>
    <w:rsid w:val="00772EE3"/>
    <w:rsid w:val="007765CB"/>
    <w:rsid w:val="00777498"/>
    <w:rsid w:val="007775BA"/>
    <w:rsid w:val="00780940"/>
    <w:rsid w:val="007826D2"/>
    <w:rsid w:val="00782966"/>
    <w:rsid w:val="0078434E"/>
    <w:rsid w:val="007858F1"/>
    <w:rsid w:val="00790E06"/>
    <w:rsid w:val="0079149F"/>
    <w:rsid w:val="00791A43"/>
    <w:rsid w:val="00793F71"/>
    <w:rsid w:val="00794702"/>
    <w:rsid w:val="007951CE"/>
    <w:rsid w:val="007957B1"/>
    <w:rsid w:val="007961B8"/>
    <w:rsid w:val="0079659E"/>
    <w:rsid w:val="007A10A8"/>
    <w:rsid w:val="007A2E19"/>
    <w:rsid w:val="007A2E52"/>
    <w:rsid w:val="007A3778"/>
    <w:rsid w:val="007A3D5C"/>
    <w:rsid w:val="007A651E"/>
    <w:rsid w:val="007A6641"/>
    <w:rsid w:val="007A7CCE"/>
    <w:rsid w:val="007B0BA6"/>
    <w:rsid w:val="007B2F40"/>
    <w:rsid w:val="007B327E"/>
    <w:rsid w:val="007B3C1F"/>
    <w:rsid w:val="007B3D1C"/>
    <w:rsid w:val="007B4B9D"/>
    <w:rsid w:val="007B6081"/>
    <w:rsid w:val="007C01F3"/>
    <w:rsid w:val="007C19E1"/>
    <w:rsid w:val="007C4C32"/>
    <w:rsid w:val="007C54DB"/>
    <w:rsid w:val="007C5815"/>
    <w:rsid w:val="007C65B0"/>
    <w:rsid w:val="007C754D"/>
    <w:rsid w:val="007C7632"/>
    <w:rsid w:val="007C7D6F"/>
    <w:rsid w:val="007D4302"/>
    <w:rsid w:val="007D67C4"/>
    <w:rsid w:val="007D698F"/>
    <w:rsid w:val="007D7E34"/>
    <w:rsid w:val="007E0799"/>
    <w:rsid w:val="007E17BF"/>
    <w:rsid w:val="007E472C"/>
    <w:rsid w:val="007F00F7"/>
    <w:rsid w:val="007F35F9"/>
    <w:rsid w:val="007F3804"/>
    <w:rsid w:val="007F6E78"/>
    <w:rsid w:val="007F7241"/>
    <w:rsid w:val="00800922"/>
    <w:rsid w:val="00803C55"/>
    <w:rsid w:val="00806332"/>
    <w:rsid w:val="00806362"/>
    <w:rsid w:val="00806A5F"/>
    <w:rsid w:val="00806AAD"/>
    <w:rsid w:val="0081014B"/>
    <w:rsid w:val="008108F3"/>
    <w:rsid w:val="0081175F"/>
    <w:rsid w:val="00812A27"/>
    <w:rsid w:val="0081358E"/>
    <w:rsid w:val="008159E7"/>
    <w:rsid w:val="008169C1"/>
    <w:rsid w:val="00820773"/>
    <w:rsid w:val="0082427A"/>
    <w:rsid w:val="00824FC0"/>
    <w:rsid w:val="00826EE6"/>
    <w:rsid w:val="0082753C"/>
    <w:rsid w:val="00827989"/>
    <w:rsid w:val="00827EAF"/>
    <w:rsid w:val="00830C35"/>
    <w:rsid w:val="00830E7D"/>
    <w:rsid w:val="0083199C"/>
    <w:rsid w:val="00832FB2"/>
    <w:rsid w:val="00835923"/>
    <w:rsid w:val="00836009"/>
    <w:rsid w:val="0083711D"/>
    <w:rsid w:val="00840B7D"/>
    <w:rsid w:val="008433CF"/>
    <w:rsid w:val="0084485E"/>
    <w:rsid w:val="00844C1F"/>
    <w:rsid w:val="00845B00"/>
    <w:rsid w:val="00846B11"/>
    <w:rsid w:val="00847518"/>
    <w:rsid w:val="00847DE7"/>
    <w:rsid w:val="00851B14"/>
    <w:rsid w:val="008522E4"/>
    <w:rsid w:val="008528CD"/>
    <w:rsid w:val="00856833"/>
    <w:rsid w:val="00856A4F"/>
    <w:rsid w:val="00857066"/>
    <w:rsid w:val="00857B0E"/>
    <w:rsid w:val="00857BAF"/>
    <w:rsid w:val="00860A66"/>
    <w:rsid w:val="00860EA7"/>
    <w:rsid w:val="00862D24"/>
    <w:rsid w:val="00863BFE"/>
    <w:rsid w:val="008645C0"/>
    <w:rsid w:val="0086693C"/>
    <w:rsid w:val="00871338"/>
    <w:rsid w:val="00871C79"/>
    <w:rsid w:val="00872CF9"/>
    <w:rsid w:val="0087392C"/>
    <w:rsid w:val="00875BC6"/>
    <w:rsid w:val="00875F2A"/>
    <w:rsid w:val="0087624D"/>
    <w:rsid w:val="00876CE1"/>
    <w:rsid w:val="00876E1B"/>
    <w:rsid w:val="00877703"/>
    <w:rsid w:val="00880FBF"/>
    <w:rsid w:val="008818CD"/>
    <w:rsid w:val="00881B5A"/>
    <w:rsid w:val="008821C5"/>
    <w:rsid w:val="00882668"/>
    <w:rsid w:val="008858CE"/>
    <w:rsid w:val="008859C4"/>
    <w:rsid w:val="00885A15"/>
    <w:rsid w:val="00886BFB"/>
    <w:rsid w:val="00891648"/>
    <w:rsid w:val="00891D81"/>
    <w:rsid w:val="0089282A"/>
    <w:rsid w:val="00893B5F"/>
    <w:rsid w:val="00894933"/>
    <w:rsid w:val="008968A6"/>
    <w:rsid w:val="0089756E"/>
    <w:rsid w:val="00897D10"/>
    <w:rsid w:val="008A18BC"/>
    <w:rsid w:val="008A2295"/>
    <w:rsid w:val="008A23FD"/>
    <w:rsid w:val="008A4CBD"/>
    <w:rsid w:val="008A56A0"/>
    <w:rsid w:val="008A66AC"/>
    <w:rsid w:val="008B00BD"/>
    <w:rsid w:val="008B0465"/>
    <w:rsid w:val="008B1B97"/>
    <w:rsid w:val="008B1F21"/>
    <w:rsid w:val="008B22B1"/>
    <w:rsid w:val="008B38BA"/>
    <w:rsid w:val="008B3DDF"/>
    <w:rsid w:val="008B4940"/>
    <w:rsid w:val="008B53A2"/>
    <w:rsid w:val="008B5719"/>
    <w:rsid w:val="008C18A5"/>
    <w:rsid w:val="008C22AA"/>
    <w:rsid w:val="008C4EAF"/>
    <w:rsid w:val="008C51C1"/>
    <w:rsid w:val="008D02D1"/>
    <w:rsid w:val="008D051E"/>
    <w:rsid w:val="008D0E02"/>
    <w:rsid w:val="008D5CFE"/>
    <w:rsid w:val="008E1480"/>
    <w:rsid w:val="008E2145"/>
    <w:rsid w:val="008E2C4C"/>
    <w:rsid w:val="008E3A9D"/>
    <w:rsid w:val="008E408D"/>
    <w:rsid w:val="008E41E1"/>
    <w:rsid w:val="008E44F6"/>
    <w:rsid w:val="008E5C72"/>
    <w:rsid w:val="008E5EC5"/>
    <w:rsid w:val="008E6175"/>
    <w:rsid w:val="008E7FC6"/>
    <w:rsid w:val="008F0004"/>
    <w:rsid w:val="008F166D"/>
    <w:rsid w:val="008F1B9F"/>
    <w:rsid w:val="008F1CBD"/>
    <w:rsid w:val="008F2A92"/>
    <w:rsid w:val="008F36A0"/>
    <w:rsid w:val="008F39A1"/>
    <w:rsid w:val="008F418B"/>
    <w:rsid w:val="008F5262"/>
    <w:rsid w:val="008F56BA"/>
    <w:rsid w:val="008F5DF9"/>
    <w:rsid w:val="008F71B7"/>
    <w:rsid w:val="009007DA"/>
    <w:rsid w:val="009013A3"/>
    <w:rsid w:val="009022E5"/>
    <w:rsid w:val="00903F9E"/>
    <w:rsid w:val="00904053"/>
    <w:rsid w:val="00905410"/>
    <w:rsid w:val="00906EA8"/>
    <w:rsid w:val="009074F2"/>
    <w:rsid w:val="00910E28"/>
    <w:rsid w:val="009130CA"/>
    <w:rsid w:val="00913CEC"/>
    <w:rsid w:val="00913EED"/>
    <w:rsid w:val="0091449A"/>
    <w:rsid w:val="00914B32"/>
    <w:rsid w:val="009152E8"/>
    <w:rsid w:val="009155B6"/>
    <w:rsid w:val="00917BF0"/>
    <w:rsid w:val="00923440"/>
    <w:rsid w:val="00925703"/>
    <w:rsid w:val="00930F06"/>
    <w:rsid w:val="00931372"/>
    <w:rsid w:val="0093312F"/>
    <w:rsid w:val="00934E76"/>
    <w:rsid w:val="00935440"/>
    <w:rsid w:val="009409E7"/>
    <w:rsid w:val="00944BA7"/>
    <w:rsid w:val="009457AA"/>
    <w:rsid w:val="00946420"/>
    <w:rsid w:val="00946D65"/>
    <w:rsid w:val="009522E8"/>
    <w:rsid w:val="009522FF"/>
    <w:rsid w:val="00955C1D"/>
    <w:rsid w:val="0095676E"/>
    <w:rsid w:val="00960A59"/>
    <w:rsid w:val="00961233"/>
    <w:rsid w:val="00962368"/>
    <w:rsid w:val="00962C26"/>
    <w:rsid w:val="009636D6"/>
    <w:rsid w:val="00963A81"/>
    <w:rsid w:val="00964394"/>
    <w:rsid w:val="0096619E"/>
    <w:rsid w:val="0096655B"/>
    <w:rsid w:val="00967059"/>
    <w:rsid w:val="00967193"/>
    <w:rsid w:val="00970758"/>
    <w:rsid w:val="00973336"/>
    <w:rsid w:val="009733BA"/>
    <w:rsid w:val="00974D81"/>
    <w:rsid w:val="00976369"/>
    <w:rsid w:val="009766EC"/>
    <w:rsid w:val="0097781F"/>
    <w:rsid w:val="009804D9"/>
    <w:rsid w:val="00980FEE"/>
    <w:rsid w:val="00981D3B"/>
    <w:rsid w:val="00982DDC"/>
    <w:rsid w:val="00983DBC"/>
    <w:rsid w:val="00987723"/>
    <w:rsid w:val="0098798C"/>
    <w:rsid w:val="00990100"/>
    <w:rsid w:val="0099041D"/>
    <w:rsid w:val="00991098"/>
    <w:rsid w:val="009942C6"/>
    <w:rsid w:val="009956B2"/>
    <w:rsid w:val="009959BC"/>
    <w:rsid w:val="009961C9"/>
    <w:rsid w:val="00996FEE"/>
    <w:rsid w:val="00997E16"/>
    <w:rsid w:val="009A1C58"/>
    <w:rsid w:val="009A24DF"/>
    <w:rsid w:val="009A2EAB"/>
    <w:rsid w:val="009A4115"/>
    <w:rsid w:val="009A4975"/>
    <w:rsid w:val="009A525C"/>
    <w:rsid w:val="009A5349"/>
    <w:rsid w:val="009A552B"/>
    <w:rsid w:val="009B0343"/>
    <w:rsid w:val="009B0D90"/>
    <w:rsid w:val="009B1737"/>
    <w:rsid w:val="009B29AA"/>
    <w:rsid w:val="009B3340"/>
    <w:rsid w:val="009B745D"/>
    <w:rsid w:val="009B79BD"/>
    <w:rsid w:val="009C116C"/>
    <w:rsid w:val="009C1C8A"/>
    <w:rsid w:val="009C4EDA"/>
    <w:rsid w:val="009C572F"/>
    <w:rsid w:val="009C5BD8"/>
    <w:rsid w:val="009C5EFD"/>
    <w:rsid w:val="009C6CA2"/>
    <w:rsid w:val="009C7DD7"/>
    <w:rsid w:val="009C7E03"/>
    <w:rsid w:val="009D0329"/>
    <w:rsid w:val="009D079D"/>
    <w:rsid w:val="009D084E"/>
    <w:rsid w:val="009D1573"/>
    <w:rsid w:val="009D19AE"/>
    <w:rsid w:val="009D2180"/>
    <w:rsid w:val="009D5268"/>
    <w:rsid w:val="009D7F46"/>
    <w:rsid w:val="009E1D1E"/>
    <w:rsid w:val="009E4062"/>
    <w:rsid w:val="009E68BD"/>
    <w:rsid w:val="009E71D5"/>
    <w:rsid w:val="009F5319"/>
    <w:rsid w:val="009F715A"/>
    <w:rsid w:val="00A00550"/>
    <w:rsid w:val="00A006F1"/>
    <w:rsid w:val="00A00F75"/>
    <w:rsid w:val="00A03828"/>
    <w:rsid w:val="00A05464"/>
    <w:rsid w:val="00A05C5B"/>
    <w:rsid w:val="00A06E31"/>
    <w:rsid w:val="00A07FFE"/>
    <w:rsid w:val="00A108C7"/>
    <w:rsid w:val="00A110BC"/>
    <w:rsid w:val="00A11D82"/>
    <w:rsid w:val="00A141A6"/>
    <w:rsid w:val="00A14A22"/>
    <w:rsid w:val="00A16EC6"/>
    <w:rsid w:val="00A20981"/>
    <w:rsid w:val="00A23A90"/>
    <w:rsid w:val="00A246B4"/>
    <w:rsid w:val="00A256B1"/>
    <w:rsid w:val="00A261AF"/>
    <w:rsid w:val="00A26518"/>
    <w:rsid w:val="00A26923"/>
    <w:rsid w:val="00A26C6B"/>
    <w:rsid w:val="00A27D5B"/>
    <w:rsid w:val="00A27DA5"/>
    <w:rsid w:val="00A314E6"/>
    <w:rsid w:val="00A3166C"/>
    <w:rsid w:val="00A333A8"/>
    <w:rsid w:val="00A3484D"/>
    <w:rsid w:val="00A34B58"/>
    <w:rsid w:val="00A3570F"/>
    <w:rsid w:val="00A358B2"/>
    <w:rsid w:val="00A37116"/>
    <w:rsid w:val="00A37541"/>
    <w:rsid w:val="00A37747"/>
    <w:rsid w:val="00A40F2A"/>
    <w:rsid w:val="00A435A4"/>
    <w:rsid w:val="00A43A3A"/>
    <w:rsid w:val="00A44FD2"/>
    <w:rsid w:val="00A51509"/>
    <w:rsid w:val="00A527D2"/>
    <w:rsid w:val="00A53220"/>
    <w:rsid w:val="00A53F2D"/>
    <w:rsid w:val="00A5783E"/>
    <w:rsid w:val="00A57B9F"/>
    <w:rsid w:val="00A6169D"/>
    <w:rsid w:val="00A62F10"/>
    <w:rsid w:val="00A633DA"/>
    <w:rsid w:val="00A64C76"/>
    <w:rsid w:val="00A652A4"/>
    <w:rsid w:val="00A65A95"/>
    <w:rsid w:val="00A66E66"/>
    <w:rsid w:val="00A670B9"/>
    <w:rsid w:val="00A67C79"/>
    <w:rsid w:val="00A73DBB"/>
    <w:rsid w:val="00A73E4C"/>
    <w:rsid w:val="00A7433E"/>
    <w:rsid w:val="00A747A6"/>
    <w:rsid w:val="00A758CA"/>
    <w:rsid w:val="00A76B1E"/>
    <w:rsid w:val="00A77822"/>
    <w:rsid w:val="00A8191C"/>
    <w:rsid w:val="00A81F14"/>
    <w:rsid w:val="00A82EE7"/>
    <w:rsid w:val="00A8355A"/>
    <w:rsid w:val="00A83C5D"/>
    <w:rsid w:val="00A84EAA"/>
    <w:rsid w:val="00A853AE"/>
    <w:rsid w:val="00A854EE"/>
    <w:rsid w:val="00A87B92"/>
    <w:rsid w:val="00A90AA4"/>
    <w:rsid w:val="00A97EF8"/>
    <w:rsid w:val="00AA13B3"/>
    <w:rsid w:val="00AA18C7"/>
    <w:rsid w:val="00AA2218"/>
    <w:rsid w:val="00AA2B0F"/>
    <w:rsid w:val="00AA2B52"/>
    <w:rsid w:val="00AA60CA"/>
    <w:rsid w:val="00AA6ED1"/>
    <w:rsid w:val="00AB1041"/>
    <w:rsid w:val="00AB35BA"/>
    <w:rsid w:val="00AB4D61"/>
    <w:rsid w:val="00AB6116"/>
    <w:rsid w:val="00AB6D73"/>
    <w:rsid w:val="00AC0DE7"/>
    <w:rsid w:val="00AC6AC8"/>
    <w:rsid w:val="00AD177D"/>
    <w:rsid w:val="00AD1A7F"/>
    <w:rsid w:val="00AD1D87"/>
    <w:rsid w:val="00AD1FD9"/>
    <w:rsid w:val="00AD2F1D"/>
    <w:rsid w:val="00AD4450"/>
    <w:rsid w:val="00AE4AC1"/>
    <w:rsid w:val="00AE4D5C"/>
    <w:rsid w:val="00AF0052"/>
    <w:rsid w:val="00AF04D9"/>
    <w:rsid w:val="00AF0530"/>
    <w:rsid w:val="00AF17B1"/>
    <w:rsid w:val="00AF23FA"/>
    <w:rsid w:val="00AF34A8"/>
    <w:rsid w:val="00AF3D6A"/>
    <w:rsid w:val="00AF490A"/>
    <w:rsid w:val="00AF6171"/>
    <w:rsid w:val="00AF6705"/>
    <w:rsid w:val="00B024D3"/>
    <w:rsid w:val="00B0563F"/>
    <w:rsid w:val="00B06522"/>
    <w:rsid w:val="00B07996"/>
    <w:rsid w:val="00B12B38"/>
    <w:rsid w:val="00B1416C"/>
    <w:rsid w:val="00B14710"/>
    <w:rsid w:val="00B16D36"/>
    <w:rsid w:val="00B17725"/>
    <w:rsid w:val="00B17DAE"/>
    <w:rsid w:val="00B20254"/>
    <w:rsid w:val="00B21F1A"/>
    <w:rsid w:val="00B22659"/>
    <w:rsid w:val="00B23B2B"/>
    <w:rsid w:val="00B2503D"/>
    <w:rsid w:val="00B27F6D"/>
    <w:rsid w:val="00B30D6C"/>
    <w:rsid w:val="00B32683"/>
    <w:rsid w:val="00B34436"/>
    <w:rsid w:val="00B34E33"/>
    <w:rsid w:val="00B355E3"/>
    <w:rsid w:val="00B35936"/>
    <w:rsid w:val="00B36581"/>
    <w:rsid w:val="00B36B5D"/>
    <w:rsid w:val="00B37054"/>
    <w:rsid w:val="00B37478"/>
    <w:rsid w:val="00B37721"/>
    <w:rsid w:val="00B440B2"/>
    <w:rsid w:val="00B45E1E"/>
    <w:rsid w:val="00B460FB"/>
    <w:rsid w:val="00B467FF"/>
    <w:rsid w:val="00B5123D"/>
    <w:rsid w:val="00B527A7"/>
    <w:rsid w:val="00B527DC"/>
    <w:rsid w:val="00B53716"/>
    <w:rsid w:val="00B53ABB"/>
    <w:rsid w:val="00B550EC"/>
    <w:rsid w:val="00B57A8F"/>
    <w:rsid w:val="00B603E0"/>
    <w:rsid w:val="00B619C5"/>
    <w:rsid w:val="00B63F38"/>
    <w:rsid w:val="00B654FA"/>
    <w:rsid w:val="00B66E79"/>
    <w:rsid w:val="00B70825"/>
    <w:rsid w:val="00B72BDC"/>
    <w:rsid w:val="00B72D2E"/>
    <w:rsid w:val="00B7302B"/>
    <w:rsid w:val="00B733E8"/>
    <w:rsid w:val="00B7447E"/>
    <w:rsid w:val="00B77280"/>
    <w:rsid w:val="00B775E3"/>
    <w:rsid w:val="00B80A06"/>
    <w:rsid w:val="00B80BFD"/>
    <w:rsid w:val="00B8194E"/>
    <w:rsid w:val="00B84ECD"/>
    <w:rsid w:val="00B858E1"/>
    <w:rsid w:val="00B86BC9"/>
    <w:rsid w:val="00B87B4A"/>
    <w:rsid w:val="00B9014E"/>
    <w:rsid w:val="00B9071C"/>
    <w:rsid w:val="00B91304"/>
    <w:rsid w:val="00B91420"/>
    <w:rsid w:val="00B9255E"/>
    <w:rsid w:val="00B9592A"/>
    <w:rsid w:val="00B95EED"/>
    <w:rsid w:val="00B961E2"/>
    <w:rsid w:val="00B977D4"/>
    <w:rsid w:val="00B97A33"/>
    <w:rsid w:val="00BA059F"/>
    <w:rsid w:val="00BA6666"/>
    <w:rsid w:val="00BA6C7D"/>
    <w:rsid w:val="00BA752D"/>
    <w:rsid w:val="00BA79CB"/>
    <w:rsid w:val="00BB062C"/>
    <w:rsid w:val="00BB2269"/>
    <w:rsid w:val="00BB2F56"/>
    <w:rsid w:val="00BB3B61"/>
    <w:rsid w:val="00BB413D"/>
    <w:rsid w:val="00BB4F20"/>
    <w:rsid w:val="00BB5316"/>
    <w:rsid w:val="00BB6312"/>
    <w:rsid w:val="00BB64C2"/>
    <w:rsid w:val="00BB7669"/>
    <w:rsid w:val="00BC07D6"/>
    <w:rsid w:val="00BC0CE2"/>
    <w:rsid w:val="00BC1B84"/>
    <w:rsid w:val="00BC2BCA"/>
    <w:rsid w:val="00BC3160"/>
    <w:rsid w:val="00BC397E"/>
    <w:rsid w:val="00BC462F"/>
    <w:rsid w:val="00BC5C0A"/>
    <w:rsid w:val="00BC72BF"/>
    <w:rsid w:val="00BD0013"/>
    <w:rsid w:val="00BD020F"/>
    <w:rsid w:val="00BD0C98"/>
    <w:rsid w:val="00BD101D"/>
    <w:rsid w:val="00BD1F8B"/>
    <w:rsid w:val="00BD41BF"/>
    <w:rsid w:val="00BD45F7"/>
    <w:rsid w:val="00BD544D"/>
    <w:rsid w:val="00BD67F0"/>
    <w:rsid w:val="00BD68B5"/>
    <w:rsid w:val="00BD7D28"/>
    <w:rsid w:val="00BE11B6"/>
    <w:rsid w:val="00BE1E02"/>
    <w:rsid w:val="00BE3C04"/>
    <w:rsid w:val="00BE4B0F"/>
    <w:rsid w:val="00BE692B"/>
    <w:rsid w:val="00BF02B3"/>
    <w:rsid w:val="00BF0728"/>
    <w:rsid w:val="00BF084A"/>
    <w:rsid w:val="00BF2B5D"/>
    <w:rsid w:val="00BF2CB1"/>
    <w:rsid w:val="00BF323F"/>
    <w:rsid w:val="00BF7723"/>
    <w:rsid w:val="00BF7851"/>
    <w:rsid w:val="00C00E3C"/>
    <w:rsid w:val="00C01957"/>
    <w:rsid w:val="00C029B2"/>
    <w:rsid w:val="00C0489B"/>
    <w:rsid w:val="00C05275"/>
    <w:rsid w:val="00C12C68"/>
    <w:rsid w:val="00C131AE"/>
    <w:rsid w:val="00C156B8"/>
    <w:rsid w:val="00C20FD3"/>
    <w:rsid w:val="00C24D6D"/>
    <w:rsid w:val="00C250CA"/>
    <w:rsid w:val="00C2797F"/>
    <w:rsid w:val="00C31C0F"/>
    <w:rsid w:val="00C324AB"/>
    <w:rsid w:val="00C324AD"/>
    <w:rsid w:val="00C358FC"/>
    <w:rsid w:val="00C35C6C"/>
    <w:rsid w:val="00C3646A"/>
    <w:rsid w:val="00C40B7B"/>
    <w:rsid w:val="00C42BF1"/>
    <w:rsid w:val="00C43BAF"/>
    <w:rsid w:val="00C44CD8"/>
    <w:rsid w:val="00C44E67"/>
    <w:rsid w:val="00C4528C"/>
    <w:rsid w:val="00C45A65"/>
    <w:rsid w:val="00C46FF4"/>
    <w:rsid w:val="00C4739A"/>
    <w:rsid w:val="00C558A4"/>
    <w:rsid w:val="00C561A6"/>
    <w:rsid w:val="00C57241"/>
    <w:rsid w:val="00C57E8F"/>
    <w:rsid w:val="00C620AD"/>
    <w:rsid w:val="00C62E5C"/>
    <w:rsid w:val="00C64395"/>
    <w:rsid w:val="00C64F1E"/>
    <w:rsid w:val="00C65040"/>
    <w:rsid w:val="00C66294"/>
    <w:rsid w:val="00C66C48"/>
    <w:rsid w:val="00C66C7A"/>
    <w:rsid w:val="00C6734E"/>
    <w:rsid w:val="00C67608"/>
    <w:rsid w:val="00C701C5"/>
    <w:rsid w:val="00C709EE"/>
    <w:rsid w:val="00C72133"/>
    <w:rsid w:val="00C7330F"/>
    <w:rsid w:val="00C7406A"/>
    <w:rsid w:val="00C74D26"/>
    <w:rsid w:val="00C76771"/>
    <w:rsid w:val="00C772E7"/>
    <w:rsid w:val="00C774EE"/>
    <w:rsid w:val="00C81749"/>
    <w:rsid w:val="00C81E5F"/>
    <w:rsid w:val="00C83593"/>
    <w:rsid w:val="00C83823"/>
    <w:rsid w:val="00C83F48"/>
    <w:rsid w:val="00C84126"/>
    <w:rsid w:val="00C84E87"/>
    <w:rsid w:val="00C8571A"/>
    <w:rsid w:val="00C859AA"/>
    <w:rsid w:val="00C85EA6"/>
    <w:rsid w:val="00C87687"/>
    <w:rsid w:val="00C92970"/>
    <w:rsid w:val="00C92B9F"/>
    <w:rsid w:val="00C94F9C"/>
    <w:rsid w:val="00C96333"/>
    <w:rsid w:val="00C964CA"/>
    <w:rsid w:val="00C975E2"/>
    <w:rsid w:val="00CA06BA"/>
    <w:rsid w:val="00CA1652"/>
    <w:rsid w:val="00CA28BA"/>
    <w:rsid w:val="00CA2FAB"/>
    <w:rsid w:val="00CA558F"/>
    <w:rsid w:val="00CA5C75"/>
    <w:rsid w:val="00CA6050"/>
    <w:rsid w:val="00CA7753"/>
    <w:rsid w:val="00CB00BD"/>
    <w:rsid w:val="00CB0B65"/>
    <w:rsid w:val="00CB18F5"/>
    <w:rsid w:val="00CB3B58"/>
    <w:rsid w:val="00CB3BF9"/>
    <w:rsid w:val="00CB3C2D"/>
    <w:rsid w:val="00CB5E28"/>
    <w:rsid w:val="00CB796A"/>
    <w:rsid w:val="00CC0140"/>
    <w:rsid w:val="00CC3972"/>
    <w:rsid w:val="00CC3FA6"/>
    <w:rsid w:val="00CC4897"/>
    <w:rsid w:val="00CC5DF1"/>
    <w:rsid w:val="00CC623F"/>
    <w:rsid w:val="00CC6581"/>
    <w:rsid w:val="00CC76FA"/>
    <w:rsid w:val="00CD33C6"/>
    <w:rsid w:val="00CD4BCB"/>
    <w:rsid w:val="00CD51FB"/>
    <w:rsid w:val="00CD554A"/>
    <w:rsid w:val="00CD7A3F"/>
    <w:rsid w:val="00CD7E9B"/>
    <w:rsid w:val="00CE087E"/>
    <w:rsid w:val="00CE1CC9"/>
    <w:rsid w:val="00CE2178"/>
    <w:rsid w:val="00CE3166"/>
    <w:rsid w:val="00CE3D27"/>
    <w:rsid w:val="00CE485D"/>
    <w:rsid w:val="00CE7686"/>
    <w:rsid w:val="00CF0C6D"/>
    <w:rsid w:val="00CF10EB"/>
    <w:rsid w:val="00CF2B00"/>
    <w:rsid w:val="00CF2CB4"/>
    <w:rsid w:val="00CF4B73"/>
    <w:rsid w:val="00CF664D"/>
    <w:rsid w:val="00CF79B7"/>
    <w:rsid w:val="00CF7D40"/>
    <w:rsid w:val="00D0182B"/>
    <w:rsid w:val="00D0203D"/>
    <w:rsid w:val="00D02932"/>
    <w:rsid w:val="00D048DA"/>
    <w:rsid w:val="00D06A61"/>
    <w:rsid w:val="00D06AB7"/>
    <w:rsid w:val="00D10351"/>
    <w:rsid w:val="00D113E8"/>
    <w:rsid w:val="00D11B93"/>
    <w:rsid w:val="00D1279E"/>
    <w:rsid w:val="00D1477F"/>
    <w:rsid w:val="00D15C48"/>
    <w:rsid w:val="00D20723"/>
    <w:rsid w:val="00D256EF"/>
    <w:rsid w:val="00D25BD8"/>
    <w:rsid w:val="00D26E95"/>
    <w:rsid w:val="00D27A61"/>
    <w:rsid w:val="00D27C1F"/>
    <w:rsid w:val="00D300C5"/>
    <w:rsid w:val="00D31BF6"/>
    <w:rsid w:val="00D3313B"/>
    <w:rsid w:val="00D343C7"/>
    <w:rsid w:val="00D3445D"/>
    <w:rsid w:val="00D364EF"/>
    <w:rsid w:val="00D40625"/>
    <w:rsid w:val="00D4127F"/>
    <w:rsid w:val="00D41DEA"/>
    <w:rsid w:val="00D43A10"/>
    <w:rsid w:val="00D4499E"/>
    <w:rsid w:val="00D44D50"/>
    <w:rsid w:val="00D46194"/>
    <w:rsid w:val="00D4779E"/>
    <w:rsid w:val="00D514A8"/>
    <w:rsid w:val="00D52198"/>
    <w:rsid w:val="00D542A4"/>
    <w:rsid w:val="00D5761A"/>
    <w:rsid w:val="00D577A7"/>
    <w:rsid w:val="00D60A09"/>
    <w:rsid w:val="00D61B10"/>
    <w:rsid w:val="00D6386C"/>
    <w:rsid w:val="00D639A9"/>
    <w:rsid w:val="00D63E6B"/>
    <w:rsid w:val="00D64169"/>
    <w:rsid w:val="00D672D2"/>
    <w:rsid w:val="00D676A5"/>
    <w:rsid w:val="00D725F3"/>
    <w:rsid w:val="00D76FF0"/>
    <w:rsid w:val="00D7762D"/>
    <w:rsid w:val="00D80352"/>
    <w:rsid w:val="00D83A29"/>
    <w:rsid w:val="00D83A5C"/>
    <w:rsid w:val="00D85237"/>
    <w:rsid w:val="00D858D9"/>
    <w:rsid w:val="00D85E4D"/>
    <w:rsid w:val="00D86DAD"/>
    <w:rsid w:val="00D90235"/>
    <w:rsid w:val="00D911DE"/>
    <w:rsid w:val="00D91C0B"/>
    <w:rsid w:val="00D91C83"/>
    <w:rsid w:val="00D950B9"/>
    <w:rsid w:val="00D952F5"/>
    <w:rsid w:val="00D95D5E"/>
    <w:rsid w:val="00D96963"/>
    <w:rsid w:val="00DA09B3"/>
    <w:rsid w:val="00DA0AF2"/>
    <w:rsid w:val="00DA206F"/>
    <w:rsid w:val="00DA238E"/>
    <w:rsid w:val="00DA25C3"/>
    <w:rsid w:val="00DA30AC"/>
    <w:rsid w:val="00DA381B"/>
    <w:rsid w:val="00DA5575"/>
    <w:rsid w:val="00DA628D"/>
    <w:rsid w:val="00DA6E27"/>
    <w:rsid w:val="00DA7009"/>
    <w:rsid w:val="00DB06D5"/>
    <w:rsid w:val="00DB25D3"/>
    <w:rsid w:val="00DB266C"/>
    <w:rsid w:val="00DB3028"/>
    <w:rsid w:val="00DB339B"/>
    <w:rsid w:val="00DB712A"/>
    <w:rsid w:val="00DC2F78"/>
    <w:rsid w:val="00DC427F"/>
    <w:rsid w:val="00DC665B"/>
    <w:rsid w:val="00DC6D86"/>
    <w:rsid w:val="00DC7933"/>
    <w:rsid w:val="00DD26FB"/>
    <w:rsid w:val="00DD4AEA"/>
    <w:rsid w:val="00DD6388"/>
    <w:rsid w:val="00DD63DF"/>
    <w:rsid w:val="00DD7FD6"/>
    <w:rsid w:val="00DE4826"/>
    <w:rsid w:val="00DE5764"/>
    <w:rsid w:val="00DE74D8"/>
    <w:rsid w:val="00DF1728"/>
    <w:rsid w:val="00DF2D7C"/>
    <w:rsid w:val="00DF3B26"/>
    <w:rsid w:val="00DF3DFB"/>
    <w:rsid w:val="00DF3E12"/>
    <w:rsid w:val="00DF438A"/>
    <w:rsid w:val="00DF7094"/>
    <w:rsid w:val="00DF729B"/>
    <w:rsid w:val="00DF7D9D"/>
    <w:rsid w:val="00E00ED7"/>
    <w:rsid w:val="00E01BEB"/>
    <w:rsid w:val="00E024AA"/>
    <w:rsid w:val="00E0271E"/>
    <w:rsid w:val="00E02846"/>
    <w:rsid w:val="00E03110"/>
    <w:rsid w:val="00E07C06"/>
    <w:rsid w:val="00E10331"/>
    <w:rsid w:val="00E115DC"/>
    <w:rsid w:val="00E163F2"/>
    <w:rsid w:val="00E17019"/>
    <w:rsid w:val="00E2010E"/>
    <w:rsid w:val="00E224EF"/>
    <w:rsid w:val="00E23EBF"/>
    <w:rsid w:val="00E24133"/>
    <w:rsid w:val="00E26FAD"/>
    <w:rsid w:val="00E2769B"/>
    <w:rsid w:val="00E301F4"/>
    <w:rsid w:val="00E307CC"/>
    <w:rsid w:val="00E32796"/>
    <w:rsid w:val="00E32FDE"/>
    <w:rsid w:val="00E33203"/>
    <w:rsid w:val="00E336C8"/>
    <w:rsid w:val="00E344F4"/>
    <w:rsid w:val="00E34ADB"/>
    <w:rsid w:val="00E37547"/>
    <w:rsid w:val="00E37690"/>
    <w:rsid w:val="00E40039"/>
    <w:rsid w:val="00E41CBE"/>
    <w:rsid w:val="00E431DB"/>
    <w:rsid w:val="00E45398"/>
    <w:rsid w:val="00E455BE"/>
    <w:rsid w:val="00E471B3"/>
    <w:rsid w:val="00E4765F"/>
    <w:rsid w:val="00E50DB8"/>
    <w:rsid w:val="00E52C06"/>
    <w:rsid w:val="00E52FBD"/>
    <w:rsid w:val="00E53ECC"/>
    <w:rsid w:val="00E5435D"/>
    <w:rsid w:val="00E61051"/>
    <w:rsid w:val="00E6125C"/>
    <w:rsid w:val="00E62316"/>
    <w:rsid w:val="00E63F47"/>
    <w:rsid w:val="00E67ACE"/>
    <w:rsid w:val="00E67D95"/>
    <w:rsid w:val="00E7067E"/>
    <w:rsid w:val="00E73BE0"/>
    <w:rsid w:val="00E77D81"/>
    <w:rsid w:val="00E8015A"/>
    <w:rsid w:val="00E801C5"/>
    <w:rsid w:val="00E806D5"/>
    <w:rsid w:val="00E8151D"/>
    <w:rsid w:val="00E81EED"/>
    <w:rsid w:val="00E82429"/>
    <w:rsid w:val="00E82FF9"/>
    <w:rsid w:val="00E842E0"/>
    <w:rsid w:val="00E87EDA"/>
    <w:rsid w:val="00E90098"/>
    <w:rsid w:val="00E90E61"/>
    <w:rsid w:val="00E917AD"/>
    <w:rsid w:val="00E963BF"/>
    <w:rsid w:val="00E96EBC"/>
    <w:rsid w:val="00E970C6"/>
    <w:rsid w:val="00E971C8"/>
    <w:rsid w:val="00EA048D"/>
    <w:rsid w:val="00EA293F"/>
    <w:rsid w:val="00EA33D9"/>
    <w:rsid w:val="00EA36D4"/>
    <w:rsid w:val="00EA423F"/>
    <w:rsid w:val="00EA5F92"/>
    <w:rsid w:val="00EA7534"/>
    <w:rsid w:val="00EA7C9F"/>
    <w:rsid w:val="00EB0344"/>
    <w:rsid w:val="00EB147A"/>
    <w:rsid w:val="00EB4AC5"/>
    <w:rsid w:val="00EB5FB2"/>
    <w:rsid w:val="00EB67D7"/>
    <w:rsid w:val="00EC0CA4"/>
    <w:rsid w:val="00EC2626"/>
    <w:rsid w:val="00EC4D2D"/>
    <w:rsid w:val="00EC5151"/>
    <w:rsid w:val="00EC66D2"/>
    <w:rsid w:val="00EC757F"/>
    <w:rsid w:val="00ED04B6"/>
    <w:rsid w:val="00ED0DA0"/>
    <w:rsid w:val="00ED191D"/>
    <w:rsid w:val="00ED1A46"/>
    <w:rsid w:val="00ED2243"/>
    <w:rsid w:val="00ED2C81"/>
    <w:rsid w:val="00ED2D0C"/>
    <w:rsid w:val="00ED3D35"/>
    <w:rsid w:val="00ED4F79"/>
    <w:rsid w:val="00ED56EF"/>
    <w:rsid w:val="00ED5794"/>
    <w:rsid w:val="00ED5F72"/>
    <w:rsid w:val="00ED6399"/>
    <w:rsid w:val="00ED7147"/>
    <w:rsid w:val="00ED73E4"/>
    <w:rsid w:val="00EE1702"/>
    <w:rsid w:val="00EE327B"/>
    <w:rsid w:val="00EE79E0"/>
    <w:rsid w:val="00EF0B91"/>
    <w:rsid w:val="00EF3B81"/>
    <w:rsid w:val="00EF4BF4"/>
    <w:rsid w:val="00EF6D02"/>
    <w:rsid w:val="00F00364"/>
    <w:rsid w:val="00F023EF"/>
    <w:rsid w:val="00F034E2"/>
    <w:rsid w:val="00F06998"/>
    <w:rsid w:val="00F070AC"/>
    <w:rsid w:val="00F07B4D"/>
    <w:rsid w:val="00F07DFB"/>
    <w:rsid w:val="00F117F5"/>
    <w:rsid w:val="00F13194"/>
    <w:rsid w:val="00F13C28"/>
    <w:rsid w:val="00F158E0"/>
    <w:rsid w:val="00F15E95"/>
    <w:rsid w:val="00F169E5"/>
    <w:rsid w:val="00F17BF1"/>
    <w:rsid w:val="00F17CF0"/>
    <w:rsid w:val="00F204AB"/>
    <w:rsid w:val="00F2074C"/>
    <w:rsid w:val="00F20B7A"/>
    <w:rsid w:val="00F23051"/>
    <w:rsid w:val="00F24BB2"/>
    <w:rsid w:val="00F258AB"/>
    <w:rsid w:val="00F261C9"/>
    <w:rsid w:val="00F26ED7"/>
    <w:rsid w:val="00F274B8"/>
    <w:rsid w:val="00F316B6"/>
    <w:rsid w:val="00F32969"/>
    <w:rsid w:val="00F32A6F"/>
    <w:rsid w:val="00F3503F"/>
    <w:rsid w:val="00F366E6"/>
    <w:rsid w:val="00F378ED"/>
    <w:rsid w:val="00F43523"/>
    <w:rsid w:val="00F43B9F"/>
    <w:rsid w:val="00F45066"/>
    <w:rsid w:val="00F46136"/>
    <w:rsid w:val="00F52A6C"/>
    <w:rsid w:val="00F53B6C"/>
    <w:rsid w:val="00F54D95"/>
    <w:rsid w:val="00F562F1"/>
    <w:rsid w:val="00F616C9"/>
    <w:rsid w:val="00F6292A"/>
    <w:rsid w:val="00F6322B"/>
    <w:rsid w:val="00F652FE"/>
    <w:rsid w:val="00F70EE9"/>
    <w:rsid w:val="00F71849"/>
    <w:rsid w:val="00F71DE0"/>
    <w:rsid w:val="00F721AA"/>
    <w:rsid w:val="00F7291A"/>
    <w:rsid w:val="00F72DA6"/>
    <w:rsid w:val="00F72ECD"/>
    <w:rsid w:val="00F73F29"/>
    <w:rsid w:val="00F779AF"/>
    <w:rsid w:val="00F77CC0"/>
    <w:rsid w:val="00F80367"/>
    <w:rsid w:val="00F81FC3"/>
    <w:rsid w:val="00F82654"/>
    <w:rsid w:val="00F85247"/>
    <w:rsid w:val="00F85743"/>
    <w:rsid w:val="00F85EE7"/>
    <w:rsid w:val="00F874E3"/>
    <w:rsid w:val="00F87E0F"/>
    <w:rsid w:val="00F90C7D"/>
    <w:rsid w:val="00F93722"/>
    <w:rsid w:val="00F95C73"/>
    <w:rsid w:val="00F9608A"/>
    <w:rsid w:val="00F96FB8"/>
    <w:rsid w:val="00FA0ECA"/>
    <w:rsid w:val="00FA13C6"/>
    <w:rsid w:val="00FA30F9"/>
    <w:rsid w:val="00FA5A47"/>
    <w:rsid w:val="00FA5C25"/>
    <w:rsid w:val="00FA74A8"/>
    <w:rsid w:val="00FB050D"/>
    <w:rsid w:val="00FB149E"/>
    <w:rsid w:val="00FB29CE"/>
    <w:rsid w:val="00FB2AD5"/>
    <w:rsid w:val="00FB3494"/>
    <w:rsid w:val="00FB451F"/>
    <w:rsid w:val="00FB5D0F"/>
    <w:rsid w:val="00FC0746"/>
    <w:rsid w:val="00FC1227"/>
    <w:rsid w:val="00FC15B4"/>
    <w:rsid w:val="00FC161D"/>
    <w:rsid w:val="00FC195D"/>
    <w:rsid w:val="00FC1A5B"/>
    <w:rsid w:val="00FC2F91"/>
    <w:rsid w:val="00FC5525"/>
    <w:rsid w:val="00FC5C67"/>
    <w:rsid w:val="00FC7B90"/>
    <w:rsid w:val="00FD1F59"/>
    <w:rsid w:val="00FD3066"/>
    <w:rsid w:val="00FD34DF"/>
    <w:rsid w:val="00FD417A"/>
    <w:rsid w:val="00FD4EDE"/>
    <w:rsid w:val="00FE0007"/>
    <w:rsid w:val="00FE0A9B"/>
    <w:rsid w:val="00FE0D92"/>
    <w:rsid w:val="00FE10D6"/>
    <w:rsid w:val="00FE1804"/>
    <w:rsid w:val="00FE1DFA"/>
    <w:rsid w:val="00FE29A9"/>
    <w:rsid w:val="00FE57A3"/>
    <w:rsid w:val="00FF26B6"/>
    <w:rsid w:val="00FF4157"/>
    <w:rsid w:val="00FF578C"/>
    <w:rsid w:val="00FF6459"/>
    <w:rsid w:val="00FF6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0157F"/>
  <w15:docId w15:val="{E6DA3A03-07D7-4FB0-9125-CDE17EDB7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353"/>
    <w:rPr>
      <w:rFonts w:ascii="Calibri" w:hAnsi="Calibri"/>
      <w:sz w:val="22"/>
      <w:szCs w:val="20"/>
    </w:rPr>
  </w:style>
  <w:style w:type="paragraph" w:styleId="Heading1">
    <w:name w:val="heading 1"/>
    <w:next w:val="Normal"/>
    <w:link w:val="Heading1Char"/>
    <w:uiPriority w:val="9"/>
    <w:qFormat/>
    <w:rsid w:val="002F51BD"/>
    <w:pPr>
      <w:keepNext/>
      <w:keepLines/>
      <w:pBdr>
        <w:top w:val="single" w:sz="18" w:space="1" w:color="003865"/>
        <w:bottom w:val="single" w:sz="18" w:space="1" w:color="003865"/>
      </w:pBdr>
      <w:shd w:val="clear" w:color="auto" w:fill="003865"/>
      <w:tabs>
        <w:tab w:val="right" w:pos="10080"/>
      </w:tabs>
      <w:spacing w:before="40" w:after="40"/>
      <w:outlineLvl w:val="0"/>
    </w:pPr>
    <w:rPr>
      <w:rFonts w:ascii="Calibri" w:eastAsiaTheme="majorEastAsia" w:hAnsi="Calibri" w:cstheme="majorBidi"/>
      <w:b/>
      <w:bCs/>
      <w:color w:val="FFFFFF" w:themeColor="background1"/>
      <w:sz w:val="28"/>
      <w:szCs w:val="28"/>
    </w:rPr>
  </w:style>
  <w:style w:type="paragraph" w:styleId="Heading2">
    <w:name w:val="heading 2"/>
    <w:next w:val="Normal"/>
    <w:link w:val="Heading2Char"/>
    <w:uiPriority w:val="9"/>
    <w:unhideWhenUsed/>
    <w:qFormat/>
    <w:rsid w:val="002F51BD"/>
    <w:pPr>
      <w:keepNext/>
      <w:keepLines/>
      <w:spacing w:after="120"/>
      <w:jc w:val="center"/>
      <w:outlineLvl w:val="1"/>
    </w:pPr>
    <w:rPr>
      <w:rFonts w:ascii="Calibri" w:eastAsiaTheme="majorEastAsia" w:hAnsi="Calibri" w:cstheme="majorBidi"/>
      <w:b/>
      <w:bCs/>
      <w: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3450E3"/>
    <w:rPr>
      <w:rFonts w:ascii="Arial Narrow" w:hAnsi="Arial Narrow"/>
      <w:color w:val="0000FF"/>
      <w:sz w:val="22"/>
      <w:u w:val="single"/>
    </w:rPr>
  </w:style>
  <w:style w:type="paragraph" w:styleId="Title">
    <w:name w:val="Title"/>
    <w:basedOn w:val="Normal"/>
    <w:link w:val="TitleChar"/>
    <w:uiPriority w:val="10"/>
    <w:qFormat/>
    <w:rsid w:val="008F0004"/>
    <w:pPr>
      <w:jc w:val="center"/>
    </w:pPr>
    <w:rPr>
      <w:b/>
      <w:bCs/>
      <w:sz w:val="28"/>
      <w:szCs w:val="28"/>
    </w:rPr>
  </w:style>
  <w:style w:type="character" w:customStyle="1" w:styleId="TitleChar">
    <w:name w:val="Title Char"/>
    <w:basedOn w:val="DefaultParagraphFont"/>
    <w:link w:val="Title"/>
    <w:uiPriority w:val="10"/>
    <w:rsid w:val="008F0004"/>
    <w:rPr>
      <w:b/>
      <w:bCs/>
      <w:sz w:val="28"/>
      <w:szCs w:val="28"/>
    </w:rPr>
  </w:style>
  <w:style w:type="paragraph" w:styleId="BodyText">
    <w:name w:val="Body Text"/>
    <w:basedOn w:val="Normal"/>
    <w:link w:val="BodyTextChar"/>
    <w:uiPriority w:val="99"/>
    <w:semiHidden/>
    <w:unhideWhenUsed/>
    <w:rsid w:val="008F0004"/>
    <w:rPr>
      <w:szCs w:val="24"/>
    </w:rPr>
  </w:style>
  <w:style w:type="character" w:customStyle="1" w:styleId="BodyTextChar">
    <w:name w:val="Body Text Char"/>
    <w:basedOn w:val="DefaultParagraphFont"/>
    <w:link w:val="BodyText"/>
    <w:uiPriority w:val="99"/>
    <w:semiHidden/>
    <w:rsid w:val="008F0004"/>
  </w:style>
  <w:style w:type="table" w:styleId="TableGrid">
    <w:name w:val="Table Grid"/>
    <w:basedOn w:val="TableNormal"/>
    <w:uiPriority w:val="59"/>
    <w:rsid w:val="00897D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F51BD"/>
    <w:rPr>
      <w:rFonts w:ascii="Calibri" w:eastAsiaTheme="majorEastAsia" w:hAnsi="Calibri" w:cstheme="majorBidi"/>
      <w:b/>
      <w:bCs/>
      <w:color w:val="FFFFFF" w:themeColor="background1"/>
      <w:sz w:val="28"/>
      <w:szCs w:val="28"/>
      <w:shd w:val="clear" w:color="auto" w:fill="003865"/>
    </w:rPr>
  </w:style>
  <w:style w:type="character" w:customStyle="1" w:styleId="Heading2Char">
    <w:name w:val="Heading 2 Char"/>
    <w:basedOn w:val="DefaultParagraphFont"/>
    <w:link w:val="Heading2"/>
    <w:uiPriority w:val="9"/>
    <w:rsid w:val="002F51BD"/>
    <w:rPr>
      <w:rFonts w:ascii="Calibri" w:eastAsiaTheme="majorEastAsia" w:hAnsi="Calibri" w:cstheme="majorBidi"/>
      <w:b/>
      <w:bCs/>
      <w:caps/>
      <w:szCs w:val="26"/>
    </w:rPr>
  </w:style>
  <w:style w:type="paragraph" w:styleId="ListParagraph">
    <w:name w:val="List Paragraph"/>
    <w:basedOn w:val="Normal"/>
    <w:uiPriority w:val="34"/>
    <w:qFormat/>
    <w:rsid w:val="00A854EE"/>
    <w:pPr>
      <w:numPr>
        <w:numId w:val="2"/>
      </w:numPr>
      <w:ind w:left="720"/>
      <w:contextualSpacing/>
    </w:pPr>
  </w:style>
  <w:style w:type="character" w:styleId="Strong">
    <w:name w:val="Strong"/>
    <w:basedOn w:val="DefaultParagraphFont"/>
    <w:uiPriority w:val="22"/>
    <w:qFormat/>
    <w:rsid w:val="00641B08"/>
    <w:rPr>
      <w:b/>
      <w:bCs/>
    </w:rPr>
  </w:style>
  <w:style w:type="paragraph" w:styleId="Caption">
    <w:name w:val="caption"/>
    <w:basedOn w:val="Normal"/>
    <w:next w:val="Normal"/>
    <w:uiPriority w:val="35"/>
    <w:unhideWhenUsed/>
    <w:qFormat/>
    <w:rsid w:val="00745F77"/>
    <w:pPr>
      <w:jc w:val="center"/>
    </w:pPr>
    <w:rPr>
      <w:b/>
      <w:bCs/>
      <w:i/>
      <w:sz w:val="18"/>
      <w:szCs w:val="18"/>
    </w:rPr>
  </w:style>
  <w:style w:type="paragraph" w:styleId="EndnoteText">
    <w:name w:val="endnote text"/>
    <w:basedOn w:val="Normal"/>
    <w:link w:val="EndnoteTextChar"/>
    <w:uiPriority w:val="99"/>
    <w:semiHidden/>
    <w:unhideWhenUsed/>
    <w:rsid w:val="0031561B"/>
    <w:pPr>
      <w:spacing w:after="0"/>
    </w:pPr>
    <w:rPr>
      <w:sz w:val="20"/>
    </w:rPr>
  </w:style>
  <w:style w:type="character" w:customStyle="1" w:styleId="EndnoteTextChar">
    <w:name w:val="Endnote Text Char"/>
    <w:basedOn w:val="DefaultParagraphFont"/>
    <w:link w:val="EndnoteText"/>
    <w:uiPriority w:val="99"/>
    <w:semiHidden/>
    <w:rsid w:val="0031561B"/>
    <w:rPr>
      <w:rFonts w:ascii="Arial Narrow" w:hAnsi="Arial Narrow"/>
      <w:sz w:val="20"/>
      <w:szCs w:val="20"/>
    </w:rPr>
  </w:style>
  <w:style w:type="character" w:styleId="EndnoteReference">
    <w:name w:val="endnote reference"/>
    <w:basedOn w:val="DefaultParagraphFont"/>
    <w:uiPriority w:val="99"/>
    <w:semiHidden/>
    <w:unhideWhenUsed/>
    <w:rsid w:val="0031561B"/>
    <w:rPr>
      <w:vertAlign w:val="superscript"/>
    </w:rPr>
  </w:style>
  <w:style w:type="character" w:styleId="IntenseEmphasis">
    <w:name w:val="Intense Emphasis"/>
    <w:basedOn w:val="DefaultParagraphFont"/>
    <w:uiPriority w:val="21"/>
    <w:qFormat/>
    <w:rsid w:val="0052224B"/>
    <w:rPr>
      <w:rFonts w:ascii="Arial Narrow" w:hAnsi="Arial Narrow"/>
      <w:b/>
      <w:bCs/>
      <w:i/>
      <w:iCs/>
      <w:color w:val="auto"/>
      <w:sz w:val="22"/>
    </w:rPr>
  </w:style>
  <w:style w:type="paragraph" w:styleId="BalloonText">
    <w:name w:val="Balloon Text"/>
    <w:basedOn w:val="Normal"/>
    <w:link w:val="BalloonTextChar"/>
    <w:uiPriority w:val="99"/>
    <w:semiHidden/>
    <w:unhideWhenUsed/>
    <w:rsid w:val="00903F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F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64094">
      <w:bodyDiv w:val="1"/>
      <w:marLeft w:val="0"/>
      <w:marRight w:val="0"/>
      <w:marTop w:val="0"/>
      <w:marBottom w:val="0"/>
      <w:divBdr>
        <w:top w:val="none" w:sz="0" w:space="0" w:color="auto"/>
        <w:left w:val="none" w:sz="0" w:space="0" w:color="auto"/>
        <w:bottom w:val="none" w:sz="0" w:space="0" w:color="auto"/>
        <w:right w:val="none" w:sz="0" w:space="0" w:color="auto"/>
      </w:divBdr>
    </w:div>
    <w:div w:id="6642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n.gov/gc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revisor.mn.gov/statutes/?id=349"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saw01\Desktop\Budget%20templates\01-my-use-small-profile-category.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Calibri" panose="020F0502020204030204" pitchFamily="34" charset="0"/>
                <a:ea typeface="+mn-ea"/>
                <a:cs typeface="Arial" panose="020B0604020202020204" pitchFamily="34" charset="0"/>
              </a:defRPr>
            </a:pPr>
            <a:r>
              <a:rPr lang="en-US" sz="1200" b="1">
                <a:solidFill>
                  <a:schemeClr val="tx1"/>
                </a:solidFill>
                <a:latin typeface="Calibri" panose="020F0502020204030204" pitchFamily="34" charset="0"/>
                <a:cs typeface="Arial" panose="020B0604020202020204" pitchFamily="34" charset="0"/>
              </a:rPr>
              <a:t>Spending by Category</a:t>
            </a:r>
          </a:p>
          <a:p>
            <a:pPr>
              <a:defRPr sz="1200" b="1">
                <a:solidFill>
                  <a:schemeClr val="tx1"/>
                </a:solidFill>
                <a:latin typeface="Calibri" panose="020F0502020204030204" pitchFamily="34" charset="0"/>
                <a:cs typeface="Arial" panose="020B0604020202020204" pitchFamily="34" charset="0"/>
              </a:defRPr>
            </a:pPr>
            <a:r>
              <a:rPr lang="en-US" sz="1200" b="1">
                <a:solidFill>
                  <a:schemeClr val="tx1"/>
                </a:solidFill>
                <a:latin typeface="Calibri" panose="020F0502020204030204" pitchFamily="34" charset="0"/>
                <a:cs typeface="Arial" panose="020B0604020202020204" pitchFamily="34" charset="0"/>
              </a:rPr>
              <a:t>FY20 Actual</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Calibri" panose="020F0502020204030204" pitchFamily="34" charset="0"/>
              <a:ea typeface="+mn-ea"/>
              <a:cs typeface="Arial" panose="020B0604020202020204" pitchFamily="34" charset="0"/>
            </a:defRPr>
          </a:pPr>
          <a:endParaRPr lang="en-US"/>
        </a:p>
      </c:txPr>
    </c:title>
    <c:autoTitleDeleted val="0"/>
    <c:plotArea>
      <c:layout>
        <c:manualLayout>
          <c:layoutTarget val="inner"/>
          <c:xMode val="edge"/>
          <c:yMode val="edge"/>
          <c:x val="0.24247336729967578"/>
          <c:y val="0.32639048003381405"/>
          <c:w val="0.51505326540064844"/>
          <c:h val="0.61250929983035585"/>
        </c:manualLayout>
      </c:layout>
      <c:pieChart>
        <c:varyColors val="1"/>
        <c:ser>
          <c:idx val="0"/>
          <c:order val="0"/>
          <c:tx>
            <c:strRef>
              <c:f>Sheet1!$B$1</c:f>
              <c:strCache>
                <c:ptCount val="1"/>
                <c:pt idx="0">
                  <c:v>Spending by Category FY 17 Actual</c:v>
                </c:pt>
              </c:strCache>
            </c:strRef>
          </c:tx>
          <c:spPr>
            <a:ln w="6350">
              <a:solidFill>
                <a:schemeClr val="bg1"/>
              </a:solidFill>
            </a:ln>
          </c:spPr>
          <c:dPt>
            <c:idx val="0"/>
            <c:bubble3D val="0"/>
            <c:spPr>
              <a:solidFill>
                <a:schemeClr val="accent1">
                  <a:tint val="54000"/>
                </a:schemeClr>
              </a:solidFill>
              <a:ln w="6350">
                <a:solidFill>
                  <a:schemeClr val="bg1"/>
                </a:solidFill>
              </a:ln>
              <a:effectLst/>
            </c:spPr>
            <c:extLst>
              <c:ext xmlns:c16="http://schemas.microsoft.com/office/drawing/2014/chart" uri="{C3380CC4-5D6E-409C-BE32-E72D297353CC}">
                <c16:uniqueId val="{00000001-0C36-46E9-B266-48855208A620}"/>
              </c:ext>
            </c:extLst>
          </c:dPt>
          <c:dPt>
            <c:idx val="1"/>
            <c:bubble3D val="0"/>
            <c:spPr>
              <a:solidFill>
                <a:schemeClr val="accent1">
                  <a:tint val="77000"/>
                </a:schemeClr>
              </a:solidFill>
              <a:ln w="6350">
                <a:solidFill>
                  <a:schemeClr val="bg1"/>
                </a:solidFill>
              </a:ln>
              <a:effectLst/>
            </c:spPr>
            <c:extLst>
              <c:ext xmlns:c16="http://schemas.microsoft.com/office/drawing/2014/chart" uri="{C3380CC4-5D6E-409C-BE32-E72D297353CC}">
                <c16:uniqueId val="{00000003-0C36-46E9-B266-48855208A620}"/>
              </c:ext>
            </c:extLst>
          </c:dPt>
          <c:dPt>
            <c:idx val="2"/>
            <c:bubble3D val="0"/>
            <c:spPr>
              <a:solidFill>
                <a:schemeClr val="accent1">
                  <a:shade val="76000"/>
                </a:schemeClr>
              </a:solidFill>
              <a:ln w="6350">
                <a:solidFill>
                  <a:schemeClr val="bg1"/>
                </a:solidFill>
              </a:ln>
              <a:effectLst/>
            </c:spPr>
            <c:extLst>
              <c:ext xmlns:c16="http://schemas.microsoft.com/office/drawing/2014/chart" uri="{C3380CC4-5D6E-409C-BE32-E72D297353CC}">
                <c16:uniqueId val="{00000005-0C36-46E9-B266-48855208A620}"/>
              </c:ext>
            </c:extLst>
          </c:dPt>
          <c:dPt>
            <c:idx val="3"/>
            <c:bubble3D val="0"/>
            <c:spPr>
              <a:solidFill>
                <a:schemeClr val="accent1">
                  <a:shade val="76000"/>
                </a:schemeClr>
              </a:solidFill>
              <a:ln w="6350">
                <a:solidFill>
                  <a:schemeClr val="bg1"/>
                </a:solidFill>
              </a:ln>
              <a:effectLst/>
            </c:spPr>
            <c:extLst>
              <c:ext xmlns:c16="http://schemas.microsoft.com/office/drawing/2014/chart" uri="{C3380CC4-5D6E-409C-BE32-E72D297353CC}">
                <c16:uniqueId val="{00000007-0C36-46E9-B266-48855208A620}"/>
              </c:ext>
            </c:extLst>
          </c:dPt>
          <c:dPt>
            <c:idx val="4"/>
            <c:bubble3D val="0"/>
            <c:spPr>
              <a:solidFill>
                <a:schemeClr val="accent1">
                  <a:shade val="53000"/>
                </a:schemeClr>
              </a:solidFill>
              <a:ln w="6350">
                <a:solidFill>
                  <a:schemeClr val="bg1"/>
                </a:solidFill>
              </a:ln>
              <a:effectLst/>
            </c:spPr>
            <c:extLst>
              <c:ext xmlns:c16="http://schemas.microsoft.com/office/drawing/2014/chart" uri="{C3380CC4-5D6E-409C-BE32-E72D297353CC}">
                <c16:uniqueId val="{00000009-0C36-46E9-B266-48855208A620}"/>
              </c:ext>
            </c:extLst>
          </c:dPt>
          <c:dLbls>
            <c:dLbl>
              <c:idx val="0"/>
              <c:layout>
                <c:manualLayout>
                  <c:x val="8.9869281045751481E-2"/>
                  <c:y val="5.1008015545299962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Calibri" panose="020F0502020204030204" pitchFamily="34" charset="0"/>
                        <a:ea typeface="+mn-ea"/>
                        <a:cs typeface="Arial" panose="020B0604020202020204" pitchFamily="34" charset="0"/>
                      </a:defRPr>
                    </a:pPr>
                    <a:fld id="{F7E71A07-871D-45CA-A091-F72C9AE8583F}" type="CATEGORYNAME">
                      <a:rPr lang="en-US"/>
                      <a:pPr>
                        <a:defRPr>
                          <a:solidFill>
                            <a:schemeClr val="tx1"/>
                          </a:solidFill>
                          <a:latin typeface="Calibri" panose="020F0502020204030204" pitchFamily="34" charset="0"/>
                          <a:cs typeface="Arial" panose="020B0604020202020204" pitchFamily="34" charset="0"/>
                        </a:defRPr>
                      </a:pPr>
                      <a:t>[CATEGORY NAME]</a:t>
                    </a:fld>
                    <a:r>
                      <a:rPr lang="en-US" baseline="0"/>
                      <a:t>, 11%</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Calibri" panose="020F050202020403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2675653594771242"/>
                      <c:h val="0.2124121417055076"/>
                    </c:manualLayout>
                  </c15:layout>
                  <c15:dlblFieldTable/>
                  <c15:showDataLabelsRange val="0"/>
                </c:ext>
                <c:ext xmlns:c16="http://schemas.microsoft.com/office/drawing/2014/chart" uri="{C3380CC4-5D6E-409C-BE32-E72D297353CC}">
                  <c16:uniqueId val="{00000001-0C36-46E9-B266-48855208A620}"/>
                </c:ext>
              </c:extLst>
            </c:dLbl>
            <c:dLbl>
              <c:idx val="1"/>
              <c:layout>
                <c:manualLayout>
                  <c:x val="-0.11143565693994133"/>
                  <c:y val="-4.6150300559041728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Calibri" panose="020F0502020204030204" pitchFamily="34" charset="0"/>
                        <a:ea typeface="+mn-ea"/>
                        <a:cs typeface="Arial" panose="020B0604020202020204" pitchFamily="34" charset="0"/>
                      </a:defRPr>
                    </a:pPr>
                    <a:fld id="{DD4CC167-1BCC-41C5-8B2C-D7D5BAEBB9C5}" type="CATEGORYNAME">
                      <a:rPr lang="en-US"/>
                      <a:pPr>
                        <a:defRPr>
                          <a:solidFill>
                            <a:schemeClr val="tx1"/>
                          </a:solidFill>
                          <a:latin typeface="Calibri" panose="020F0502020204030204" pitchFamily="34" charset="0"/>
                          <a:cs typeface="Arial" panose="020B0604020202020204" pitchFamily="34" charset="0"/>
                        </a:defRPr>
                      </a:pPr>
                      <a:t>[CATEGORY NAME]</a:t>
                    </a:fld>
                    <a:r>
                      <a:rPr lang="en-US" baseline="0"/>
                      <a:t>, 89%</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Calibri" panose="020F050202020403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7569894755802582"/>
                      <c:h val="0.1358756376001943"/>
                    </c:manualLayout>
                  </c15:layout>
                  <c15:dlblFieldTable/>
                  <c15:showDataLabelsRange val="0"/>
                </c:ext>
                <c:ext xmlns:c16="http://schemas.microsoft.com/office/drawing/2014/chart" uri="{C3380CC4-5D6E-409C-BE32-E72D297353CC}">
                  <c16:uniqueId val="{00000003-0C36-46E9-B266-48855208A620}"/>
                </c:ext>
              </c:extLst>
            </c:dLbl>
            <c:dLbl>
              <c:idx val="2"/>
              <c:layout>
                <c:manualLayout>
                  <c:x val="0"/>
                  <c:y val="-7.7726499878552346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Calibri" panose="020F050202020403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3080065359477125"/>
                      <c:h val="0.24896769492348797"/>
                    </c:manualLayout>
                  </c15:layout>
                </c:ext>
                <c:ext xmlns:c16="http://schemas.microsoft.com/office/drawing/2014/chart" uri="{C3380CC4-5D6E-409C-BE32-E72D297353CC}">
                  <c16:uniqueId val="{00000005-0C36-46E9-B266-48855208A620}"/>
                </c:ext>
              </c:extLst>
            </c:dLbl>
            <c:dLbl>
              <c:idx val="3"/>
              <c:layout>
                <c:manualLayout>
                  <c:x val="-1.4978040480023522E-16"/>
                  <c:y val="9.7158124848190433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0C36-46E9-B266-48855208A620}"/>
                </c:ext>
              </c:extLst>
            </c:dLbl>
            <c:dLbl>
              <c:idx val="4"/>
              <c:layout>
                <c:manualLayout>
                  <c:x val="-4.084967320261438E-2"/>
                  <c:y val="1.4573718727228565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0C36-46E9-B266-48855208A6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Calibri" panose="020F050202020403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separator>, </c:separator>
            <c:showLeaderLines val="1"/>
            <c:leaderLines>
              <c:spPr>
                <a:ln w="9525" cap="flat" cmpd="sng" algn="ctr">
                  <a:solidFill>
                    <a:schemeClr val="tx1"/>
                  </a:solidFill>
                  <a:round/>
                </a:ln>
                <a:effectLst/>
              </c:spPr>
            </c:leaderLines>
            <c:extLst>
              <c:ext xmlns:c15="http://schemas.microsoft.com/office/drawing/2012/chart" uri="{CE6537A1-D6FC-4f65-9D91-7224C49458BB}"/>
            </c:extLst>
          </c:dLbls>
          <c:cat>
            <c:strRef>
              <c:f>Sheet1!$A$2:$A$3</c:f>
              <c:strCache>
                <c:ptCount val="2"/>
                <c:pt idx="0">
                  <c:v>Operating Expenses</c:v>
                </c:pt>
                <c:pt idx="1">
                  <c:v>Compensation</c:v>
                </c:pt>
              </c:strCache>
            </c:strRef>
          </c:cat>
          <c:val>
            <c:numRef>
              <c:f>Sheet1!$B$2:$B$3</c:f>
              <c:numCache>
                <c:formatCode>0%</c:formatCode>
                <c:ptCount val="2"/>
                <c:pt idx="0">
                  <c:v>0.14000000000000001</c:v>
                </c:pt>
                <c:pt idx="1">
                  <c:v>0.86</c:v>
                </c:pt>
              </c:numCache>
            </c:numRef>
          </c:val>
          <c:extLst>
            <c:ext xmlns:c16="http://schemas.microsoft.com/office/drawing/2014/chart" uri="{C3380CC4-5D6E-409C-BE32-E72D297353CC}">
              <c16:uniqueId val="{0000000A-0C36-46E9-B266-48855208A620}"/>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Arial Narrow" panose="020B0606020202030204" pitchFamily="34" charset="0"/>
                <a:ea typeface="+mn-ea"/>
                <a:cs typeface="Arial" panose="020B0604020202020204" pitchFamily="34" charset="0"/>
              </a:defRPr>
            </a:pPr>
            <a:r>
              <a:rPr lang="en-US" sz="1200" b="1">
                <a:solidFill>
                  <a:schemeClr val="tx1"/>
                </a:solidFill>
                <a:latin typeface="Arial Narrow" panose="020B0606020202030204" pitchFamily="34" charset="0"/>
                <a:cs typeface="Arial" panose="020B0604020202020204" pitchFamily="34" charset="0"/>
              </a:rPr>
              <a:t>Historical Spending</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Arial Narrow" panose="020B0606020202030204" pitchFamily="34" charset="0"/>
              <a:ea typeface="+mn-ea"/>
              <a:cs typeface="Arial" panose="020B0604020202020204" pitchFamily="34" charset="0"/>
            </a:defRPr>
          </a:pPr>
          <a:endParaRPr lang="en-US"/>
        </a:p>
      </c:txPr>
    </c:title>
    <c:autoTitleDeleted val="0"/>
    <c:plotArea>
      <c:layout/>
      <c:barChart>
        <c:barDir val="col"/>
        <c:grouping val="stacked"/>
        <c:varyColors val="0"/>
        <c:ser>
          <c:idx val="0"/>
          <c:order val="0"/>
          <c:tx>
            <c:strRef>
              <c:f>Sheet1!$A$2</c:f>
              <c:strCache>
                <c:ptCount val="1"/>
                <c:pt idx="0">
                  <c:v>Biennial Yrs</c:v>
                </c:pt>
              </c:strCache>
            </c:strRef>
          </c:tx>
          <c:spPr>
            <a:solidFill>
              <a:schemeClr val="accent1"/>
            </a:solidFill>
            <a:ln w="3175">
              <a:solidFill>
                <a:schemeClr val="tx1"/>
              </a:solidFill>
            </a:ln>
            <a:effectLst/>
          </c:spPr>
          <c:invertIfNegative val="0"/>
          <c:cat>
            <c:strRef>
              <c:f>Sheet1!$B$1:$I$1</c:f>
              <c:strCache>
                <c:ptCount val="5"/>
                <c:pt idx="0">
                  <c:v>12-13</c:v>
                </c:pt>
                <c:pt idx="1">
                  <c:v>14-15</c:v>
                </c:pt>
                <c:pt idx="2">
                  <c:v>16-17</c:v>
                </c:pt>
                <c:pt idx="3">
                  <c:v>18-19</c:v>
                </c:pt>
                <c:pt idx="4">
                  <c:v>20-21</c:v>
                </c:pt>
              </c:strCache>
            </c:strRef>
          </c:cat>
          <c:val>
            <c:numRef>
              <c:f>Sheet1!$B$2:$I$2</c:f>
              <c:numCache>
                <c:formatCode>"$"#,##0</c:formatCode>
                <c:ptCount val="5"/>
                <c:pt idx="0">
                  <c:v>5197</c:v>
                </c:pt>
                <c:pt idx="1">
                  <c:v>5822</c:v>
                </c:pt>
                <c:pt idx="2">
                  <c:v>6142</c:v>
                </c:pt>
                <c:pt idx="3">
                  <c:v>6725</c:v>
                </c:pt>
                <c:pt idx="4">
                  <c:v>6944</c:v>
                </c:pt>
              </c:numCache>
            </c:numRef>
          </c:val>
          <c:extLst>
            <c:ext xmlns:c16="http://schemas.microsoft.com/office/drawing/2014/chart" uri="{C3380CC4-5D6E-409C-BE32-E72D297353CC}">
              <c16:uniqueId val="{00000000-2714-4033-A663-A9E6215F73A4}"/>
            </c:ext>
          </c:extLst>
        </c:ser>
        <c:dLbls>
          <c:showLegendKey val="0"/>
          <c:showVal val="0"/>
          <c:showCatName val="0"/>
          <c:showSerName val="0"/>
          <c:showPercent val="0"/>
          <c:showBubbleSize val="0"/>
        </c:dLbls>
        <c:gapWidth val="150"/>
        <c:overlap val="100"/>
        <c:axId val="145241800"/>
        <c:axId val="146744984"/>
      </c:barChart>
      <c:catAx>
        <c:axId val="145241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Calibri" panose="020F0502020204030204" pitchFamily="34" charset="0"/>
                <a:ea typeface="+mn-ea"/>
                <a:cs typeface="Arial" panose="020B0604020202020204" pitchFamily="34" charset="0"/>
              </a:defRPr>
            </a:pPr>
            <a:endParaRPr lang="en-US"/>
          </a:p>
        </c:txPr>
        <c:crossAx val="146744984"/>
        <c:crosses val="autoZero"/>
        <c:auto val="1"/>
        <c:lblAlgn val="ctr"/>
        <c:lblOffset val="100"/>
        <c:noMultiLvlLbl val="0"/>
      </c:catAx>
      <c:valAx>
        <c:axId val="146744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Arial" panose="020B0604020202020204" pitchFamily="34" charset="0"/>
                  </a:defRPr>
                </a:pPr>
                <a:r>
                  <a:rPr lang="en-US" b="1">
                    <a:solidFill>
                      <a:schemeClr val="tx1"/>
                    </a:solidFill>
                    <a:latin typeface="+mn-lt"/>
                    <a:cs typeface="Arial" panose="020B0604020202020204" pitchFamily="34" charset="0"/>
                  </a:rPr>
                  <a:t>Thousands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Arial" panose="020B0604020202020204" pitchFamily="34" charset="0"/>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Calibri" panose="020F0502020204030204" pitchFamily="34" charset="0"/>
                <a:ea typeface="+mn-ea"/>
                <a:cs typeface="Arial" panose="020B0604020202020204" pitchFamily="34" charset="0"/>
              </a:defRPr>
            </a:pPr>
            <a:endParaRPr lang="en-US"/>
          </a:p>
        </c:txPr>
        <c:crossAx val="145241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Calibri" panose="020F050202020403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d847275-e543-44c8-805a-b09db5df639c">MQCT4KU2UW3H-560659145-135</_dlc_DocId>
    <_dlc_DocIdUrl xmlns="2d847275-e543-44c8-805a-b09db5df639c">
      <Url>https://mn365.sharepoint.com/sites/MMB-Budget/_layouts/15/DocIdRedir.aspx?ID=MQCT4KU2UW3H-560659145-135</Url>
      <Description>MQCT4KU2UW3H-560659145-135</Description>
    </_dlc_DocIdUrl>
    <MMB_x0020_Status xmlns="2d847275-e543-44c8-805a-b09db5df639c"/>
    <Document_x0020_Status xmlns="2d847275-e543-44c8-805a-b09db5df63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0B6199483EAE42894E5B6CD4E39821" ma:contentTypeVersion="18" ma:contentTypeDescription="Create a new document." ma:contentTypeScope="" ma:versionID="f6b0c535c0111387ae504855df810490">
  <xsd:schema xmlns:xsd="http://www.w3.org/2001/XMLSchema" xmlns:xs="http://www.w3.org/2001/XMLSchema" xmlns:p="http://schemas.microsoft.com/office/2006/metadata/properties" xmlns:ns2="2d847275-e543-44c8-805a-b09db5df639c" targetNamespace="http://schemas.microsoft.com/office/2006/metadata/properties" ma:root="true" ma:fieldsID="bdfae100bda9885d22159f44ae0b05f0" ns2:_="">
    <xsd:import namespace="2d847275-e543-44c8-805a-b09db5df639c"/>
    <xsd:element name="properties">
      <xsd:complexType>
        <xsd:sequence>
          <xsd:element name="documentManagement">
            <xsd:complexType>
              <xsd:all>
                <xsd:element ref="ns2:_dlc_DocId" minOccurs="0"/>
                <xsd:element ref="ns2:_dlc_DocIdUrl" minOccurs="0"/>
                <xsd:element ref="ns2:_dlc_DocIdPersistId" minOccurs="0"/>
                <xsd:element ref="ns2:Document_x0020_Status" minOccurs="0"/>
                <xsd:element ref="ns2:MMB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47275-e543-44c8-805a-b09db5df63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tatus" ma:index="11" nillable="true" ma:displayName="Document Status" ma:format="Dropdown" ma:internalName="Document_x0020_Status">
      <xsd:simpleType>
        <xsd:restriction base="dms:Choice">
          <xsd:enumeration value="MMB Review 1"/>
          <xsd:enumeration value="Pulled"/>
        </xsd:restriction>
      </xsd:simpleType>
    </xsd:element>
    <xsd:element name="MMB_x0020_Status" ma:index="12" nillable="true" ma:displayName="MMB Status" ma:internalName="MMB_x0020_Status">
      <xsd:complexType>
        <xsd:complexContent>
          <xsd:extension base="dms:MultiChoiceFillIn">
            <xsd:sequence>
              <xsd:element name="Value" maxOccurs="unbounded" minOccurs="0" nillable="true">
                <xsd:simpleType>
                  <xsd:union memberTypes="dms:Text">
                    <xsd:simpleType>
                      <xsd:restriction base="dms:Choice">
                        <xsd:enumeration value="MMB EBO Review Complete: Budget Impact"/>
                        <xsd:enumeration value="MMB EBO Review Complete: No Budget Impact"/>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B3BFD-4253-4B8E-AC71-8FB67B20B41C}">
  <ds:schemaRefs>
    <ds:schemaRef ds:uri="http://schemas.microsoft.com/sharepoint/events"/>
    <ds:schemaRef ds:uri=""/>
  </ds:schemaRefs>
</ds:datastoreItem>
</file>

<file path=customXml/itemProps2.xml><?xml version="1.0" encoding="utf-8"?>
<ds:datastoreItem xmlns:ds="http://schemas.openxmlformats.org/officeDocument/2006/customXml" ds:itemID="{38DB1911-D343-4E83-8388-D4F183837A32}">
  <ds:schemaRefs>
    <ds:schemaRef ds:uri="http://schemas.microsoft.com/sharepoint/v3/contenttype/forms"/>
  </ds:schemaRefs>
</ds:datastoreItem>
</file>

<file path=customXml/itemProps3.xml><?xml version="1.0" encoding="utf-8"?>
<ds:datastoreItem xmlns:ds="http://schemas.openxmlformats.org/officeDocument/2006/customXml" ds:itemID="{6D45D279-43A0-44E3-B902-05E0FA336AA2}">
  <ds:schemaRefs>
    <ds:schemaRef ds:uri="http://purl.org/dc/terms/"/>
    <ds:schemaRef ds:uri="http://schemas.openxmlformats.org/package/2006/metadata/core-properties"/>
    <ds:schemaRef ds:uri="http://purl.org/dc/dcmitype/"/>
    <ds:schemaRef ds:uri="http://schemas.microsoft.com/office/infopath/2007/PartnerControls"/>
    <ds:schemaRef ds:uri="2d847275-e543-44c8-805a-b09db5df639c"/>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AE44F44-F8E0-4A76-B131-3C8476092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47275-e543-44c8-805a-b09db5df6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53F361-27F5-42D5-B796-B59912632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01-my-use-small-profile-category</Template>
  <TotalTime>1</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Small Agency Profile - Spending by Category Chart</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Agency Profile - Spending by Category Chart</dc:title>
  <dc:subject>Budget Narrative</dc:subject>
  <dc:creator>MMB/Admin Services</dc:creator>
  <cp:lastModifiedBy>Gettman, Matt D (GCB)</cp:lastModifiedBy>
  <cp:revision>2</cp:revision>
  <cp:lastPrinted>2018-08-24T15:52:00Z</cp:lastPrinted>
  <dcterms:created xsi:type="dcterms:W3CDTF">2021-01-14T17:37:00Z</dcterms:created>
  <dcterms:modified xsi:type="dcterms:W3CDTF">2021-01-14T17:37:00Z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0x010100130B6199483EAE42894E5B6CD4E39821</vt:lpwstr>
  </property>
  <property fmtid="{D5CDD505-2E9C-101B-9397-08002B2CF9AE}" pid="3" name="_dlc_DocIdItemGuid">
    <vt:lpwstr>459a0d33-445e-4925-a8b9-9d5ae4f0a296</vt:lpwstr>
  </property>
</Properties>
</file>